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8DBE0" w:sz="4" w:space="8"/>
        </w:pBdr>
        <w:spacing w:after="240"/>
      </w:pPr>
      <w:r>
        <w:rPr>
          <w:rFonts w:ascii="Calibri" w:cs="Calibri" w:eastAsia="Calibri" w:hAnsi="Calibri"/>
          <w:b/>
          <w:bCs/>
          <w:color w:val="1F232B"/>
          <w:sz w:val="36"/>
          <w:szCs w:val="36"/>
        </w:rPr>
        <w:t xml:space="preserve">Business Requirements Document — Elektronické schvalování dovolených a služebních cest</w:t>
      </w:r>
    </w:p>
    <w:p>
      <w:pPr>
        <w:keepNext/>
        <w:spacing w:after="200" w:before="0"/>
      </w:pPr>
      <w:r>
        <w:rPr>
          <w:b/>
          <w:bCs/>
          <w:i w:val="false"/>
          <w:iCs w:val="false"/>
          <w:color w:val="1F232B"/>
          <w:sz w:val="39"/>
          <w:szCs w:val="39"/>
        </w:rPr>
        <w:t xml:space="preserve">Business Requirements Document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Účel dokumentu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Tento dokument stanovuje první pracovní základ obchodních požadavků pro nahrazení papírového a e-mailového schvalování dovolených a služebních cest. Je určen pro business ownera, business analytika, product ownera, realizační tým, HR a QA; konkrétní role však vyžadují potvrzení v rámci vstupu pro zainteresované strany.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Dokument pokrývá požadované obchodní schopnosti, potřeby uživatelů, pravidla schvalování, datové a procesní potřeby, akceptační podmínky a sledovatelnost. Zahrnuty jsou zejména: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podávání žádostí zaměstnanci přes web a mobil;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schvalování nadřízeným jedním kliknutím;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přehled pro HR;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export do mzdového systému;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provozní kontext 300 zaměstnanců a 3 poboček.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Organizační, procesní, informační a integrační hranice nejsou ve vstupních podkladech popsány. </w:t>
      </w:r>
      <w:r>
        <w:rPr>
          <w:b/>
          <w:bCs/>
          <w:i w:val="false"/>
          <w:iCs w:val="false"/>
        </w:rPr>
        <w:t xml:space="preserve">TBD – vyžadován schválený rozsah, popis současného stavu, seznam dotčených procesů a specifikace rozhraní na mzdový systém.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Formální schválení tohoto dokumentu, jeho verze, vlastníci požadavků a pravidla změnového řízení jsou </w:t>
      </w:r>
      <w:r>
        <w:rPr>
          <w:b/>
          <w:bCs/>
          <w:i w:val="false"/>
          <w:iCs w:val="false"/>
        </w:rPr>
        <w:t xml:space="preserve">TBD – vyžadováno rozhodnutí business ownera nebo jiné pověřené schvalovací autority.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Obchodní kontext a cíle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Z dostupného vstupu vyplývá záměr firmy nahradit papírové a e-mailové schvalování dovolených a služebních cest koordinovaným procesem s podporou webu, mobilního přístupu, schvalování nadřízeným, přehledu pro HR a exportu do mzdového systému.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Podložené informace: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firma má 300 zaměstnanců;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firma působí ve 3 pobočkách;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zaměstnanci mají podávat žádosti přes web i mobil;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nadřízený má schvalovat jedním kliknutím;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HR má mít přehled;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má existovat export do mzdového systému.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Konkrétní problémy současného stavu, měřitelné cíle, dotčené organizační jednotky, očekávané přínosy, termíny a schválené priority nejsou dodány. </w:t>
      </w:r>
      <w:r>
        <w:rPr>
          <w:b/>
          <w:bCs/>
          <w:i w:val="false"/>
          <w:iCs w:val="false"/>
        </w:rPr>
        <w:t xml:space="preserve">TBD – vyžadován schválený popis současného stavu, cíle iniciativy, měřítka úspěchu a rozhodnutí stakeholderů.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Požadované výsledky podle zadání jsou: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digitalizované podávání žádostí o dovolenou a služební cesty;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elektronické schvalování nadřízeným;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dostupnost přehledu pro HR;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předávání údajů do mzdového systému.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Tyto výsledky představují požadované obchodní výsledky, nikoli schválený návrh konkrétní technologie nebo implementace. Konkrétní řešení, integrační mechanismus, autentizace a provozní model jsou </w:t>
      </w:r>
      <w:r>
        <w:rPr>
          <w:b/>
          <w:bCs/>
          <w:i w:val="false"/>
          <w:iCs w:val="false"/>
        </w:rPr>
        <w:t xml:space="preserve">TBD – vyžadovány schválené návrhové a integrační podklady.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Rozsah</w:t>
      </w:r>
    </w:p>
    <w:p>
      <w:pPr>
        <w:keepNext/>
        <w:spacing w:after="120" w:before="280"/>
      </w:pPr>
      <w:r>
        <w:rPr>
          <w:b/>
          <w:bCs/>
          <w:i w:val="false"/>
          <w:iCs w:val="false"/>
          <w:color w:val="1F232B"/>
          <w:sz w:val="24"/>
          <w:szCs w:val="24"/>
        </w:rPr>
        <w:t xml:space="preserve">Zahrnutý rozsah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Na základě dostupného briefu je do pracovního rozsahu zahrnuto: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podávání žádostí zaměstnanci;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žádosti o dovolenou;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žádosti o služební cesty;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přístup přes web;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přístup přes mobil;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schvalování nadřízeným jedním kliknutím;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přehled pro HR;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export do mzdového systému;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použití v organizaci o 300 zaměstnancích a 3 pobočkách.</w:t>
      </w:r>
    </w:p>
    <w:p>
      <w:pPr>
        <w:keepNext/>
        <w:spacing w:after="120" w:before="280"/>
      </w:pPr>
      <w:r>
        <w:rPr>
          <w:b/>
          <w:bCs/>
          <w:i w:val="false"/>
          <w:iCs w:val="false"/>
          <w:color w:val="1F232B"/>
          <w:sz w:val="24"/>
          <w:szCs w:val="24"/>
        </w:rPr>
        <w:t xml:space="preserve">Neurčený nebo vyloučený rozsah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Následující oblasti nelze bez dalších podkladů považovat za zahrnuté ani vyloučené: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konkrétní typy dovolených;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cestovní náhrady a jejich výpočet;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evidence pracovního času;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zastupování při nepřítomnosti nadřízeného;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víceúrovňové schvalování;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přístup externích osob;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správa uživatelů a organizační struktury;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notifikace a připomínky;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archivace a retenční lhůty;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podrobnosti exportu do mzdového systému;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napojení na jiné podnikové systémy.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TBD – vyžadován schválený rozsah včetně zahrnutých a vyloučených procesů, dat, rozhraní a dotčených organizačních jednotek.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Předpoklady nebo závislosti, které mohou rozsah změnit, nejsou popsány. </w:t>
      </w:r>
      <w:r>
        <w:rPr>
          <w:b/>
          <w:bCs/>
          <w:i w:val="false"/>
          <w:iCs w:val="false"/>
        </w:rPr>
        <w:t xml:space="preserve">TBD – vyžadován seznam předpokladů, závislostí a autorita oprávněná schvalovat změny rozsahu.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Zainteresované strany a uživatelé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Ze vstupu lze identifikovat tyto obecné skupiny uživatelů: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Zaměstnanci</w:t>
      </w:r>
      <w:r>
        <w:rPr>
          <w:b w:val="false"/>
          <w:bCs w:val="false"/>
          <w:i w:val="false"/>
          <w:iCs w:val="false"/>
        </w:rPr>
        <w:t xml:space="preserve"> – podávají žádosti o dovolenou a služební cesty přes web nebo mobil. Konkrétní potřeby, oprávnění a výjimky jsou </w:t>
      </w:r>
      <w:r>
        <w:rPr>
          <w:b/>
          <w:bCs/>
          <w:i w:val="false"/>
          <w:iCs w:val="false"/>
        </w:rPr>
        <w:t xml:space="preserve">TBD – vyžadován vstup pro zainteresované strany a uživatele.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Nadřízení</w:t>
      </w:r>
      <w:r>
        <w:rPr>
          <w:b w:val="false"/>
          <w:bCs w:val="false"/>
          <w:i w:val="false"/>
          <w:iCs w:val="false"/>
        </w:rPr>
        <w:t xml:space="preserve"> – schvalují žádosti jedním kliknutím. Rozsah jejich odpovědnosti, zastupitelnost a rozhodovací pravomoc jsou </w:t>
      </w:r>
      <w:r>
        <w:rPr>
          <w:b/>
          <w:bCs/>
          <w:i w:val="false"/>
          <w:iCs w:val="false"/>
        </w:rPr>
        <w:t xml:space="preserve">TBD – vyžadován schválený model rolí a schvalování.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HR</w:t>
      </w:r>
      <w:r>
        <w:rPr>
          <w:b w:val="false"/>
          <w:bCs w:val="false"/>
          <w:i w:val="false"/>
          <w:iCs w:val="false"/>
        </w:rPr>
        <w:t xml:space="preserve"> – potřebuje přehled žádostí a export do mzdového systému. Rozsah přehledu, oprávnění, odpovědnost za data a akceptační role jsou </w:t>
      </w:r>
      <w:r>
        <w:rPr>
          <w:b/>
          <w:bCs/>
          <w:i w:val="false"/>
          <w:iCs w:val="false"/>
        </w:rPr>
        <w:t xml:space="preserve">TBD – vyžadován vstup HR a schválený model odpovědností.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Správce nebo vlastník mzdového systému</w:t>
      </w:r>
      <w:r>
        <w:rPr>
          <w:b w:val="false"/>
          <w:bCs w:val="false"/>
          <w:i w:val="false"/>
          <w:iCs w:val="false"/>
        </w:rPr>
        <w:t xml:space="preserve"> – může být dotčen exportem. Jeho existence, role a technické či obchodní požadavky nejsou potvrzeny. </w:t>
      </w:r>
      <w:r>
        <w:rPr>
          <w:b/>
          <w:bCs/>
          <w:i w:val="false"/>
          <w:iCs w:val="false"/>
        </w:rPr>
        <w:t xml:space="preserve">TBD – vyžadován integrační a stakeholderový vstup.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Business owner a schvalovací autorita</w:t>
      </w:r>
      <w:r>
        <w:rPr>
          <w:b w:val="false"/>
          <w:bCs w:val="false"/>
          <w:i w:val="false"/>
          <w:iCs w:val="false"/>
        </w:rPr>
        <w:t xml:space="preserve"> – jejich identita a pravomoc nejsou dodány. </w:t>
      </w:r>
      <w:r>
        <w:rPr>
          <w:b/>
          <w:bCs/>
          <w:i w:val="false"/>
          <w:iCs w:val="false"/>
        </w:rPr>
        <w:t xml:space="preserve">TBD – vyžadováno rozhodnutí o vlastnictví iniciativy a schvalování baseline.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QA nebo akceptující tým</w:t>
      </w:r>
      <w:r>
        <w:rPr>
          <w:b w:val="false"/>
          <w:bCs w:val="false"/>
          <w:i w:val="false"/>
          <w:iCs w:val="false"/>
        </w:rPr>
        <w:t xml:space="preserve"> – jejich účast není ve zdrojích potvrzena. </w:t>
      </w:r>
      <w:r>
        <w:rPr>
          <w:b/>
          <w:bCs/>
          <w:i w:val="false"/>
          <w:iCs w:val="false"/>
        </w:rPr>
        <w:t xml:space="preserve">TBD – vyžadováno určení akceptační role.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Obchodní potřeby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Podrobný vstup pro obchodní potřeby nebyl dodán. Z briefu lze odvodit pouze následující uživatelsky popsané potřeby; jejich formální schválení, priorita a měřitelná hodnota jsou </w:t>
      </w:r>
      <w:r>
        <w:rPr>
          <w:b/>
          <w:bCs/>
          <w:i w:val="false"/>
          <w:iCs w:val="false"/>
        </w:rPr>
        <w:t xml:space="preserve">TBD – vyžadován schválený seznam obchodních potřeb.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BN-001 – Digitalizované podávání žádostí:</w:t>
      </w:r>
      <w:r>
        <w:rPr>
          <w:b w:val="false"/>
          <w:bCs w:val="false"/>
          <w:i w:val="false"/>
          <w:iCs w:val="false"/>
        </w:rPr>
        <w:t xml:space="preserve"> Firma potřebuje podporovat podávání žádostí o dovolenou a služební cesty bez papírového a e-mailového procesu.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Beneficienti: zaměstnanci a nadřízení; další beneficienti jsou </w:t>
      </w:r>
      <w:r>
        <w:rPr>
          <w:b/>
          <w:bCs/>
          <w:i w:val="false"/>
          <w:iCs w:val="false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Priorita: </w:t>
      </w:r>
      <w:r>
        <w:rPr>
          <w:b/>
          <w:bCs/>
          <w:i w:val="false"/>
          <w:iCs w:val="false"/>
        </w:rPr>
        <w:t xml:space="preserve">TBD – vyžadováno explicitní prioritizované rozhodnutí.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Zdroj: vstup „Účel dokumentu“.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BN-002 – Mobilní a webový přístup:</w:t>
      </w:r>
      <w:r>
        <w:rPr>
          <w:b w:val="false"/>
          <w:bCs w:val="false"/>
          <w:i w:val="false"/>
          <w:iCs w:val="false"/>
        </w:rPr>
        <w:t xml:space="preserve"> Zaměstnanci potřebují podávat žádosti přes web i mobil.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Beneficienti: zaměstnanci; další beneficienti jsou </w:t>
      </w:r>
      <w:r>
        <w:rPr>
          <w:b/>
          <w:bCs/>
          <w:i w:val="false"/>
          <w:iCs w:val="false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Priorita: </w:t>
      </w:r>
      <w:r>
        <w:rPr>
          <w:b/>
          <w:bCs/>
          <w:i w:val="false"/>
          <w:iCs w:val="false"/>
        </w:rPr>
        <w:t xml:space="preserve">TBD – vyžadováno explicitní prioritizované rozhodnutí.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Zdroj: vstup „Účel dokumentu“.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BN-003 – Efektivní schvalování:</w:t>
      </w:r>
      <w:r>
        <w:rPr>
          <w:b w:val="false"/>
          <w:bCs w:val="false"/>
          <w:i w:val="false"/>
          <w:iCs w:val="false"/>
        </w:rPr>
        <w:t xml:space="preserve"> Firma potřebuje, aby nadřízení mohli žádosti schvalovat jedním kliknutím.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Beneficienti: nadřízení a zaměstnanci; další beneficienti jsou </w:t>
      </w:r>
      <w:r>
        <w:rPr>
          <w:b/>
          <w:bCs/>
          <w:i w:val="false"/>
          <w:iCs w:val="false"/>
        </w:rPr>
        <w:t xml:space="preserve">TBD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Priorita: </w:t>
      </w:r>
      <w:r>
        <w:rPr>
          <w:b/>
          <w:bCs/>
          <w:i w:val="false"/>
          <w:iCs w:val="false"/>
        </w:rPr>
        <w:t xml:space="preserve">TBD – vyžadováno explicitní prioritizované rozhodnutí.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Zdroj: vstup „Účel dokumentu“.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BN-004 – Přehled pro HR:</w:t>
      </w:r>
      <w:r>
        <w:rPr>
          <w:b w:val="false"/>
          <w:bCs w:val="false"/>
          <w:i w:val="false"/>
          <w:iCs w:val="false"/>
        </w:rPr>
        <w:t xml:space="preserve"> HR potřebuje mít přehled o relevantních žádostech.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Beneficient: HR.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Priorita: </w:t>
      </w:r>
      <w:r>
        <w:rPr>
          <w:b/>
          <w:bCs/>
          <w:i w:val="false"/>
          <w:iCs w:val="false"/>
        </w:rPr>
        <w:t xml:space="preserve">TBD – vyžadováno explicitní prioritizované rozhodnutí.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Zdroj: vstup „Účel dokumentu“.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BN-005 – Předání údajů do mezd:</w:t>
      </w:r>
      <w:r>
        <w:rPr>
          <w:b w:val="false"/>
          <w:bCs w:val="false"/>
          <w:i w:val="false"/>
          <w:iCs w:val="false"/>
        </w:rPr>
        <w:t xml:space="preserve"> Firma potřebuje exportovat relevantní údaje do mzdového systému.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Beneficient: HR nebo vlastník mzdového procesu; konkrétní beneficient je </w:t>
      </w:r>
      <w:r>
        <w:rPr>
          <w:b/>
          <w:bCs/>
          <w:i w:val="false"/>
          <w:iCs w:val="false"/>
        </w:rPr>
        <w:t xml:space="preserve">TBD – vyžadováno potvrzení stakeholdera.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Priorita: </w:t>
      </w:r>
      <w:r>
        <w:rPr>
          <w:b/>
          <w:bCs/>
          <w:i w:val="false"/>
          <w:iCs w:val="false"/>
        </w:rPr>
        <w:t xml:space="preserve">TBD – vyžadováno explicitní prioritizované rozhodnutí.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Zdroj: vstup „Účel dokumentu“.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Konkrétní řešení, například technologie, způsob přihlášení nebo konkrétní forma exportu, nejsou obchodními potřebami a nejsou v této části potvrzeny.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Obchodní požadavky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Níže jsou uvedeny požadavky přímo podložené briefem. Priorita, formální vlastník, verze kontrolovaného zdroje a úplná akceptační měřítka jsou </w:t>
      </w:r>
      <w:r>
        <w:rPr>
          <w:b/>
          <w:bCs/>
          <w:i w:val="false"/>
          <w:iCs w:val="false"/>
        </w:rPr>
        <w:t xml:space="preserve">TBD – vyžadována schválená evidence požadavků a rozhodnutí stakeholderů.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41"/>
        <w:gridCol w:w="1432"/>
        <w:gridCol w:w="1335"/>
        <w:gridCol w:w="1432"/>
        <w:gridCol w:w="1238"/>
        <w:gridCol w:w="1722"/>
        <w:gridCol w:w="1338"/>
      </w:tblGrid>
      <w:tr>
        <w:trPr>
          <w:cantSplit/>
          <w:tblHeader/>
        </w:trPr>
        <w:tc>
          <w:tcPr>
            <w:tcW w:type="dxa" w:w="114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ID požadavku</w:t>
            </w:r>
          </w:p>
        </w:tc>
        <w:tc>
          <w:tcPr>
            <w:tcW w:type="dxa" w:w="143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Požadavek</w:t>
            </w:r>
          </w:p>
        </w:tc>
        <w:tc>
          <w:tcPr>
            <w:tcW w:type="dxa" w:w="133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Odůvodnění</w:t>
            </w:r>
          </w:p>
        </w:tc>
        <w:tc>
          <w:tcPr>
            <w:tcW w:type="dxa" w:w="143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Priorita</w:t>
            </w:r>
          </w:p>
        </w:tc>
        <w:tc>
          <w:tcPr>
            <w:tcW w:type="dxa" w:w="12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Zdroj</w:t>
            </w:r>
          </w:p>
        </w:tc>
        <w:tc>
          <w:tcPr>
            <w:tcW w:type="dxa" w:w="172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Akceptace</w:t>
            </w:r>
          </w:p>
        </w:tc>
        <w:tc>
          <w:tcPr>
            <w:tcW w:type="dxa" w:w="13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114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BR-001</w:t>
            </w:r>
          </w:p>
        </w:tc>
        <w:tc>
          <w:tcPr>
            <w:tcW w:type="dxa" w:w="143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Řešení musí umožnit zaměstnanci podat žádost o dovolenou.</w:t>
            </w:r>
          </w:p>
        </w:tc>
        <w:tc>
          <w:tcPr>
            <w:tcW w:type="dxa" w:w="133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Naplnění BN-001 a nahrazení papírového a e-mailového procesu.</w:t>
            </w:r>
          </w:p>
        </w:tc>
        <w:tc>
          <w:tcPr>
            <w:tcW w:type="dxa" w:w="143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vyžadována prioritizace</w:t>
            </w:r>
          </w:p>
        </w:tc>
        <w:tc>
          <w:tcPr>
            <w:tcW w:type="dxa" w:w="12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Vstup „Účel dokumentu“</w:t>
            </w:r>
          </w:p>
        </w:tc>
        <w:tc>
          <w:tcPr>
            <w:tcW w:type="dxa" w:w="172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Žádost o dovolenou lze podat a její přijetí lze ověřit; přesné scénáře a prahové hodnoty TBD.</w:t>
            </w:r>
          </w:p>
        </w:tc>
        <w:tc>
          <w:tcPr>
            <w:tcW w:type="dxa" w:w="13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Pracovní návrh, neschváleno</w:t>
            </w:r>
          </w:p>
        </w:tc>
      </w:tr>
      <w:tr>
        <w:trPr>
          <w:cantSplit/>
        </w:trPr>
        <w:tc>
          <w:tcPr>
            <w:tcW w:type="dxa" w:w="114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BR-002</w:t>
            </w:r>
          </w:p>
        </w:tc>
        <w:tc>
          <w:tcPr>
            <w:tcW w:type="dxa" w:w="143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Řešení musí umožnit zaměstnanci podat žádost o služební cestu.</w:t>
            </w:r>
          </w:p>
        </w:tc>
        <w:tc>
          <w:tcPr>
            <w:tcW w:type="dxa" w:w="133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Naplnění BN-001.</w:t>
            </w:r>
          </w:p>
        </w:tc>
        <w:tc>
          <w:tcPr>
            <w:tcW w:type="dxa" w:w="143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vyžadována prioritizace</w:t>
            </w:r>
          </w:p>
        </w:tc>
        <w:tc>
          <w:tcPr>
            <w:tcW w:type="dxa" w:w="12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Vstup „Účel dokumentu“</w:t>
            </w:r>
          </w:p>
        </w:tc>
        <w:tc>
          <w:tcPr>
            <w:tcW w:type="dxa" w:w="172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Žádost o služební cestu lze podat a její přijetí lze ověřit; přesné scénáře a prahové hodnoty TBD.</w:t>
            </w:r>
          </w:p>
        </w:tc>
        <w:tc>
          <w:tcPr>
            <w:tcW w:type="dxa" w:w="13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Pracovní návrh, neschváleno</w:t>
            </w:r>
          </w:p>
        </w:tc>
      </w:tr>
      <w:tr>
        <w:trPr>
          <w:cantSplit/>
        </w:trPr>
        <w:tc>
          <w:tcPr>
            <w:tcW w:type="dxa" w:w="114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BR-003</w:t>
            </w:r>
          </w:p>
        </w:tc>
        <w:tc>
          <w:tcPr>
            <w:tcW w:type="dxa" w:w="143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Řešení musí umožnit podání žádosti přes web.</w:t>
            </w:r>
          </w:p>
        </w:tc>
        <w:tc>
          <w:tcPr>
            <w:tcW w:type="dxa" w:w="133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Naplnění BN-002.</w:t>
            </w:r>
          </w:p>
        </w:tc>
        <w:tc>
          <w:tcPr>
            <w:tcW w:type="dxa" w:w="143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vyžadována prioritizace</w:t>
            </w:r>
          </w:p>
        </w:tc>
        <w:tc>
          <w:tcPr>
            <w:tcW w:type="dxa" w:w="12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Vstup „Účel dokumentu“</w:t>
            </w:r>
          </w:p>
        </w:tc>
        <w:tc>
          <w:tcPr>
            <w:tcW w:type="dxa" w:w="172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Zaměstnanec podá žádost prostřednictvím webového přístupu; přesné podmínky TBD.</w:t>
            </w:r>
          </w:p>
        </w:tc>
        <w:tc>
          <w:tcPr>
            <w:tcW w:type="dxa" w:w="13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Pracovní návrh, neschváleno</w:t>
            </w:r>
          </w:p>
        </w:tc>
      </w:tr>
      <w:tr>
        <w:trPr>
          <w:cantSplit/>
        </w:trPr>
        <w:tc>
          <w:tcPr>
            <w:tcW w:type="dxa" w:w="114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BR-004</w:t>
            </w:r>
          </w:p>
        </w:tc>
        <w:tc>
          <w:tcPr>
            <w:tcW w:type="dxa" w:w="143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Řešení musí umožnit podání žádosti přes mobil.</w:t>
            </w:r>
          </w:p>
        </w:tc>
        <w:tc>
          <w:tcPr>
            <w:tcW w:type="dxa" w:w="133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Naplnění BN-002.</w:t>
            </w:r>
          </w:p>
        </w:tc>
        <w:tc>
          <w:tcPr>
            <w:tcW w:type="dxa" w:w="143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vyžadována prioritizace</w:t>
            </w:r>
          </w:p>
        </w:tc>
        <w:tc>
          <w:tcPr>
            <w:tcW w:type="dxa" w:w="12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Vstup „Účel dokumentu“</w:t>
            </w:r>
          </w:p>
        </w:tc>
        <w:tc>
          <w:tcPr>
            <w:tcW w:type="dxa" w:w="172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Zaměstnanec podá žádost prostřednictvím mobilního přístupu; přesné podmínky TBD.</w:t>
            </w:r>
          </w:p>
        </w:tc>
        <w:tc>
          <w:tcPr>
            <w:tcW w:type="dxa" w:w="13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Pracovní návrh, neschváleno</w:t>
            </w:r>
          </w:p>
        </w:tc>
      </w:tr>
      <w:tr>
        <w:trPr>
          <w:cantSplit/>
        </w:trPr>
        <w:tc>
          <w:tcPr>
            <w:tcW w:type="dxa" w:w="114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BR-005</w:t>
            </w:r>
          </w:p>
        </w:tc>
        <w:tc>
          <w:tcPr>
            <w:tcW w:type="dxa" w:w="143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Řešení musí umožnit nadřízenému schválit žádost jedním kliknutím.</w:t>
            </w:r>
          </w:p>
        </w:tc>
        <w:tc>
          <w:tcPr>
            <w:tcW w:type="dxa" w:w="133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Naplnění BN-003.</w:t>
            </w:r>
          </w:p>
        </w:tc>
        <w:tc>
          <w:tcPr>
            <w:tcW w:type="dxa" w:w="143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vyžadována prioritizace</w:t>
            </w:r>
          </w:p>
        </w:tc>
        <w:tc>
          <w:tcPr>
            <w:tcW w:type="dxa" w:w="12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Vstup „Účel dokumentu“</w:t>
            </w:r>
          </w:p>
        </w:tc>
        <w:tc>
          <w:tcPr>
            <w:tcW w:type="dxa" w:w="172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Oprávněný nadřízený provede schválení jedním kliknutím; pravidla oprávnění a výjimky TBD.</w:t>
            </w:r>
          </w:p>
        </w:tc>
        <w:tc>
          <w:tcPr>
            <w:tcW w:type="dxa" w:w="13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Pracovní návrh, neschváleno</w:t>
            </w:r>
          </w:p>
        </w:tc>
      </w:tr>
      <w:tr>
        <w:trPr>
          <w:cantSplit/>
        </w:trPr>
        <w:tc>
          <w:tcPr>
            <w:tcW w:type="dxa" w:w="114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BR-006</w:t>
            </w:r>
          </w:p>
        </w:tc>
        <w:tc>
          <w:tcPr>
            <w:tcW w:type="dxa" w:w="143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Řešení musí poskytnout HR přehled o žádostech.</w:t>
            </w:r>
          </w:p>
        </w:tc>
        <w:tc>
          <w:tcPr>
            <w:tcW w:type="dxa" w:w="133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Naplnění BN-004.</w:t>
            </w:r>
          </w:p>
        </w:tc>
        <w:tc>
          <w:tcPr>
            <w:tcW w:type="dxa" w:w="143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vyžadována prioritizace</w:t>
            </w:r>
          </w:p>
        </w:tc>
        <w:tc>
          <w:tcPr>
            <w:tcW w:type="dxa" w:w="12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Vstup „Účel dokumentu“</w:t>
            </w:r>
          </w:p>
        </w:tc>
        <w:tc>
          <w:tcPr>
            <w:tcW w:type="dxa" w:w="172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HR zobrazí požadovaný přehled; obsah, filtry a úplnost přehledu TBD.</w:t>
            </w:r>
          </w:p>
        </w:tc>
        <w:tc>
          <w:tcPr>
            <w:tcW w:type="dxa" w:w="13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Pracovní návrh, neschváleno</w:t>
            </w:r>
          </w:p>
        </w:tc>
      </w:tr>
      <w:tr>
        <w:trPr>
          <w:cantSplit/>
        </w:trPr>
        <w:tc>
          <w:tcPr>
            <w:tcW w:type="dxa" w:w="114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BR-007</w:t>
            </w:r>
          </w:p>
        </w:tc>
        <w:tc>
          <w:tcPr>
            <w:tcW w:type="dxa" w:w="143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Řešení musí umožnit export relevantních údajů do mzdového systému.</w:t>
            </w:r>
          </w:p>
        </w:tc>
        <w:tc>
          <w:tcPr>
            <w:tcW w:type="dxa" w:w="133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Naplnění BN-005.</w:t>
            </w:r>
          </w:p>
        </w:tc>
        <w:tc>
          <w:tcPr>
            <w:tcW w:type="dxa" w:w="143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vyžadována prioritizace</w:t>
            </w:r>
          </w:p>
        </w:tc>
        <w:tc>
          <w:tcPr>
            <w:tcW w:type="dxa" w:w="12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Vstup „Účel dokumentu“</w:t>
            </w:r>
          </w:p>
        </w:tc>
        <w:tc>
          <w:tcPr>
            <w:tcW w:type="dxa" w:w="172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Export je vytvořen v požadovaném rozsahu a lze ověřit jeho předání; formát, frekvence a kontrola úplnosti TBD.</w:t>
            </w:r>
          </w:p>
        </w:tc>
        <w:tc>
          <w:tcPr>
            <w:tcW w:type="dxa" w:w="13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Pracovní návrh, neschváleno</w:t>
            </w:r>
          </w:p>
        </w:tc>
      </w:tr>
    </w:tbl>
    <w:p>
      <w:pPr>
        <w:spacing w:after="120"/>
      </w:pP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Požadavky BR-001 až BR-007 jsou solution-neutral na úrovni obchodního výsledku. Neurčují konkrétní aplikaci, technologii ani integrační mechanismus. Jejich formální schválení a ověření duplicity či konfliktů jsou </w:t>
      </w:r>
      <w:r>
        <w:rPr>
          <w:b/>
          <w:bCs/>
          <w:i w:val="false"/>
          <w:iCs w:val="false"/>
        </w:rPr>
        <w:t xml:space="preserve">TBD – vyžadována validace stakeholdery.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Obchodní pravidla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Ve vstupních podkladech nebyla dodána žádná schválená obchodní pravidla. Požadavky na role, oprávnění, typy žádostí, lhůty, výjimky, zastupování, pořadí schvalování, předávání do mezd a řešení chyb jsou </w:t>
      </w:r>
      <w:r>
        <w:rPr>
          <w:b/>
          <w:bCs/>
          <w:i w:val="false"/>
          <w:iCs w:val="false"/>
        </w:rPr>
        <w:t xml:space="preserve">TBD – vyžadován schválený katalog obchodních pravidel.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67"/>
        <w:gridCol w:w="1530"/>
        <w:gridCol w:w="1442"/>
        <w:gridCol w:w="1154"/>
        <w:gridCol w:w="1758"/>
        <w:gridCol w:w="1429"/>
        <w:gridCol w:w="1158"/>
      </w:tblGrid>
      <w:tr>
        <w:trPr>
          <w:cantSplit/>
          <w:tblHeader/>
        </w:trPr>
        <w:tc>
          <w:tcPr>
            <w:tcW w:type="dxa" w:w="116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ID pravidla</w:t>
            </w:r>
          </w:p>
        </w:tc>
        <w:tc>
          <w:tcPr>
            <w:tcW w:type="dxa" w:w="15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Pravidlo</w:t>
            </w:r>
          </w:p>
        </w:tc>
        <w:tc>
          <w:tcPr>
            <w:tcW w:type="dxa" w:w="144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Spouštěč</w:t>
            </w:r>
          </w:p>
        </w:tc>
        <w:tc>
          <w:tcPr>
            <w:tcW w:type="dxa" w:w="115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Výsledek</w:t>
            </w:r>
          </w:p>
        </w:tc>
        <w:tc>
          <w:tcPr>
            <w:tcW w:type="dxa" w:w="17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Vlastník</w:t>
            </w:r>
          </w:p>
        </w:tc>
        <w:tc>
          <w:tcPr>
            <w:tcW w:type="dxa" w:w="142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Zdroj</w:t>
            </w:r>
          </w:p>
        </w:tc>
        <w:tc>
          <w:tcPr>
            <w:tcW w:type="dxa" w:w="11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116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BRL-001</w:t>
            </w:r>
          </w:p>
        </w:tc>
        <w:tc>
          <w:tcPr>
            <w:tcW w:type="dxa" w:w="15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vyžadováno pravidlo určující, kdo může podat žádost o dovolenou nebo služební cestu.</w:t>
            </w:r>
          </w:p>
        </w:tc>
        <w:tc>
          <w:tcPr>
            <w:tcW w:type="dxa" w:w="144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 popis procesu</w:t>
            </w:r>
          </w:p>
        </w:tc>
        <w:tc>
          <w:tcPr>
            <w:tcW w:type="dxa" w:w="115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17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 vlastník procesu</w:t>
            </w:r>
          </w:p>
        </w:tc>
        <w:tc>
          <w:tcPr>
            <w:tcW w:type="dxa" w:w="142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 schválený zdroj</w:t>
            </w:r>
          </w:p>
        </w:tc>
        <w:tc>
          <w:tcPr>
            <w:tcW w:type="dxa" w:w="11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Neurčeno</w:t>
            </w:r>
          </w:p>
        </w:tc>
      </w:tr>
      <w:tr>
        <w:trPr>
          <w:cantSplit/>
        </w:trPr>
        <w:tc>
          <w:tcPr>
            <w:tcW w:type="dxa" w:w="116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BRL-002</w:t>
            </w:r>
          </w:p>
        </w:tc>
        <w:tc>
          <w:tcPr>
            <w:tcW w:type="dxa" w:w="15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vyžadováno pravidlo určující, který nadřízený může žádost schválit.</w:t>
            </w:r>
          </w:p>
        </w:tc>
        <w:tc>
          <w:tcPr>
            <w:tcW w:type="dxa" w:w="144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Podaná žádost</w:t>
            </w:r>
          </w:p>
        </w:tc>
        <w:tc>
          <w:tcPr>
            <w:tcW w:type="dxa" w:w="115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17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 vlastník schvalovacího procesu</w:t>
            </w:r>
          </w:p>
        </w:tc>
        <w:tc>
          <w:tcPr>
            <w:tcW w:type="dxa" w:w="142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 schválený zdroj</w:t>
            </w:r>
          </w:p>
        </w:tc>
        <w:tc>
          <w:tcPr>
            <w:tcW w:type="dxa" w:w="11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Neurčeno</w:t>
            </w:r>
          </w:p>
        </w:tc>
      </w:tr>
      <w:tr>
        <w:trPr>
          <w:cantSplit/>
        </w:trPr>
        <w:tc>
          <w:tcPr>
            <w:tcW w:type="dxa" w:w="116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BRL-003</w:t>
            </w:r>
          </w:p>
        </w:tc>
        <w:tc>
          <w:tcPr>
            <w:tcW w:type="dxa" w:w="15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vyžadováno pravidlo určující obsah a oprávnění přehledu HR.</w:t>
            </w:r>
          </w:p>
        </w:tc>
        <w:tc>
          <w:tcPr>
            <w:tcW w:type="dxa" w:w="144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Existující žádosti</w:t>
            </w:r>
          </w:p>
        </w:tc>
        <w:tc>
          <w:tcPr>
            <w:tcW w:type="dxa" w:w="115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17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 vlastník HR procesu</w:t>
            </w:r>
          </w:p>
        </w:tc>
        <w:tc>
          <w:tcPr>
            <w:tcW w:type="dxa" w:w="142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 schválený zdroj</w:t>
            </w:r>
          </w:p>
        </w:tc>
        <w:tc>
          <w:tcPr>
            <w:tcW w:type="dxa" w:w="11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Neurčeno</w:t>
            </w:r>
          </w:p>
        </w:tc>
      </w:tr>
      <w:tr>
        <w:trPr>
          <w:cantSplit/>
        </w:trPr>
        <w:tc>
          <w:tcPr>
            <w:tcW w:type="dxa" w:w="116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BRL-004</w:t>
            </w:r>
          </w:p>
        </w:tc>
        <w:tc>
          <w:tcPr>
            <w:tcW w:type="dxa" w:w="15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vyžadováno pravidlo určující, které údaje se exportují do mzdového systému a kdy.</w:t>
            </w:r>
          </w:p>
        </w:tc>
        <w:tc>
          <w:tcPr>
            <w:tcW w:type="dxa" w:w="144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 popis mzdového procesu</w:t>
            </w:r>
          </w:p>
        </w:tc>
        <w:tc>
          <w:tcPr>
            <w:tcW w:type="dxa" w:w="115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17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 vlastník mzdového procesu</w:t>
            </w:r>
          </w:p>
        </w:tc>
        <w:tc>
          <w:tcPr>
            <w:tcW w:type="dxa" w:w="142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 integrační zdroj</w:t>
            </w:r>
          </w:p>
        </w:tc>
        <w:tc>
          <w:tcPr>
            <w:tcW w:type="dxa" w:w="11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Neurčeno</w:t>
            </w:r>
          </w:p>
        </w:tc>
      </w:tr>
    </w:tbl>
    <w:p>
      <w:pPr>
        <w:spacing w:after="120"/>
      </w:pP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Precedence mezi pravidly, výjimky a konflikty nejsou doloženy. </w:t>
      </w:r>
      <w:r>
        <w:rPr>
          <w:b/>
          <w:bCs/>
          <w:i w:val="false"/>
          <w:iCs w:val="false"/>
        </w:rPr>
        <w:t xml:space="preserve">TBD – vyžadováno schválené rozhodnutí o prioritě pravidel a řešení výjimek.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Požadavky na data a informace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Požadované informační objekty nejsou ve vstupu specifikovány. Z briefu lze potvrdit pouze existenci žádostí o dovolenou, žádostí o služební cesty, přehledu pro HR a exportu do mzdového systému.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DI-001 – Údaje žádosti o dovolenou:</w:t>
      </w:r>
      <w:r>
        <w:rPr>
          <w:b w:val="false"/>
          <w:bCs w:val="false"/>
          <w:i w:val="false"/>
          <w:iCs w:val="false"/>
        </w:rPr>
        <w:t xml:space="preserve"> Obsah, povinná pole, kvalita, aktuálnost, retenční doba, přístupová práva, zdroj a vlastník jsou </w:t>
      </w:r>
      <w:r>
        <w:rPr>
          <w:b/>
          <w:bCs/>
          <w:i w:val="false"/>
          <w:iCs w:val="false"/>
        </w:rPr>
        <w:t xml:space="preserve">TBD – vyžadována specifikace informačních potřeb a schválený vlastník dat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DI-002 – Údaje žádosti o služební cestu:</w:t>
      </w:r>
      <w:r>
        <w:rPr>
          <w:b w:val="false"/>
          <w:bCs w:val="false"/>
          <w:i w:val="false"/>
          <w:iCs w:val="false"/>
        </w:rPr>
        <w:t xml:space="preserve"> Obsah, povinná pole, kvalita, aktuálnost, retenční doba, přístupová práva, zdroj a vlastník jsou </w:t>
      </w:r>
      <w:r>
        <w:rPr>
          <w:b/>
          <w:bCs/>
          <w:i w:val="false"/>
          <w:iCs w:val="false"/>
        </w:rPr>
        <w:t xml:space="preserve">TBD – vyžadována specifikace informačních potřeb a schválený vlastník dat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DI-003 – Přehled pro HR:</w:t>
      </w:r>
      <w:r>
        <w:rPr>
          <w:b w:val="false"/>
          <w:bCs w:val="false"/>
          <w:i w:val="false"/>
          <w:iCs w:val="false"/>
        </w:rPr>
        <w:t xml:space="preserve"> Požadované atributy, filtry, rozsah přístupu, aktuálnost, účel a ověřovací základ jsou </w:t>
      </w:r>
      <w:r>
        <w:rPr>
          <w:b/>
          <w:bCs/>
          <w:i w:val="false"/>
          <w:iCs w:val="false"/>
        </w:rPr>
        <w:t xml:space="preserve">TBD – vyžadován schválený návrh přehledu HR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DI-004 – Export do mzdového systému:</w:t>
      </w:r>
      <w:r>
        <w:rPr>
          <w:b w:val="false"/>
          <w:bCs w:val="false"/>
          <w:i w:val="false"/>
          <w:iCs w:val="false"/>
        </w:rPr>
        <w:t xml:space="preserve"> Datový obsah, formát, frekvence, zdroj, validace, způsob předání a odpovědnost jsou </w:t>
      </w:r>
      <w:r>
        <w:rPr>
          <w:b/>
          <w:bCs/>
          <w:i w:val="false"/>
          <w:iCs w:val="false"/>
        </w:rPr>
        <w:t xml:space="preserve">TBD – vyžadována specifikace integračních a mzdových dat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Fyzické schéma dat ani konkrétní technologie nejsou v dostupných podkladech určeny.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Procesní požadavky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Podložený procesní záměr obsahuje tyto kroky:</w:t>
      </w:r>
    </w:p>
    <w:p>
      <w:pPr>
        <w:pStyle w:val="ListParagraph"/>
        <w:numPr>
          <w:ilvl w:val="0"/>
          <w:numId w:val="3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Zaměstnanec podá žádost o dovolenou nebo služební cestu.</w:t>
      </w:r>
    </w:p>
    <w:p>
      <w:pPr>
        <w:pStyle w:val="ListParagraph"/>
        <w:numPr>
          <w:ilvl w:val="0"/>
          <w:numId w:val="3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Žádost je podána přes web nebo mobil.</w:t>
      </w:r>
    </w:p>
    <w:p>
      <w:pPr>
        <w:pStyle w:val="ListParagraph"/>
        <w:numPr>
          <w:ilvl w:val="0"/>
          <w:numId w:val="3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Nadřízený žádost schválí jedním kliknutím.</w:t>
      </w:r>
    </w:p>
    <w:p>
      <w:pPr>
        <w:pStyle w:val="ListParagraph"/>
        <w:numPr>
          <w:ilvl w:val="0"/>
          <w:numId w:val="3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HR získá přehled o žádostech.</w:t>
      </w:r>
    </w:p>
    <w:p>
      <w:pPr>
        <w:pStyle w:val="ListParagraph"/>
        <w:numPr>
          <w:ilvl w:val="0"/>
          <w:numId w:val="3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Relevantní údaje jsou exportovány do mzdového systému.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Pro jednotlivé kroky nejsou dodány úplné procesní specifikace. Následující údaje jsou proto </w:t>
      </w:r>
      <w:r>
        <w:rPr>
          <w:b/>
          <w:bCs/>
          <w:i w:val="false"/>
          <w:iCs w:val="false"/>
        </w:rPr>
        <w:t xml:space="preserve">TBD – vyžadován schválený procesní model a pravidla</w:t>
      </w:r>
      <w:r>
        <w:rPr>
          <w:b w:val="false"/>
          <w:bCs w:val="false"/>
          <w:i w:val="false"/>
          <w:iCs w:val="false"/>
        </w:rPr>
        <w:t xml:space="preserve">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spouštěcí podmínky a aktéři;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povinné vstupy a výstupy;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stavový model žádosti;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odmítnutí, vrácení nebo změna žádosti;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zastupování nadřízeného;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chybové a výjimečné situace;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kontrolní body;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očekávané lhůty a výkonnostní parametry;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potvrzení o úspěšném exportu;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postup při nesouladu nebo neúplnosti exportovaných údajů.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BR-001 až BR-007 představují podložené procesní výsledky, nikoli úplný návrh pracovního postupu.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Nefunkční obchodní očekávání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Dostupný brief neobsahuje měřitelné nefunkční požadavky ani schválené úrovně služeb. Následující oblasti je nutné doplnit: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Dostupnost:</w:t>
      </w:r>
      <w:r>
        <w:rPr>
          <w:b w:val="false"/>
          <w:bCs w:val="false"/>
          <w:i w:val="false"/>
          <w:iCs w:val="false"/>
        </w:rPr>
        <w:t xml:space="preserve"> očekávaná dostupnost webového a mobilního přístupu je </w:t>
      </w:r>
      <w:r>
        <w:rPr>
          <w:b/>
          <w:bCs/>
          <w:i w:val="false"/>
          <w:iCs w:val="false"/>
        </w:rPr>
        <w:t xml:space="preserve">TBD – vyžadována schválená úroveň služby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Výkon:</w:t>
      </w:r>
      <w:r>
        <w:rPr>
          <w:b w:val="false"/>
          <w:bCs w:val="false"/>
          <w:i w:val="false"/>
          <w:iCs w:val="false"/>
        </w:rPr>
        <w:t xml:space="preserve"> očekávaná doba odezvy a objem zpracování jsou </w:t>
      </w:r>
      <w:r>
        <w:rPr>
          <w:b/>
          <w:bCs/>
          <w:i w:val="false"/>
          <w:iCs w:val="false"/>
        </w:rPr>
        <w:t xml:space="preserve">TBD – vyžadovány měřitelné cíle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Použitelnost:</w:t>
      </w:r>
      <w:r>
        <w:rPr>
          <w:b w:val="false"/>
          <w:bCs w:val="false"/>
          <w:i w:val="false"/>
          <w:iCs w:val="false"/>
        </w:rPr>
        <w:t xml:space="preserve"> význam požadavku „jedním kliknutím“, včetně výjimek a potvrzení, je </w:t>
      </w:r>
      <w:r>
        <w:rPr>
          <w:b/>
          <w:bCs/>
          <w:i w:val="false"/>
          <w:iCs w:val="false"/>
        </w:rPr>
        <w:t xml:space="preserve">TBD – vyžadována akceptační definice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Přístupnost:</w:t>
      </w:r>
      <w:r>
        <w:rPr>
          <w:b w:val="false"/>
          <w:bCs w:val="false"/>
          <w:i w:val="false"/>
          <w:iCs w:val="false"/>
        </w:rPr>
        <w:t xml:space="preserve"> požadavky na přístupnost nejsou uvedeny. </w:t>
      </w:r>
      <w:r>
        <w:rPr>
          <w:b/>
          <w:bCs/>
          <w:i w:val="false"/>
          <w:iCs w:val="false"/>
        </w:rPr>
        <w:t xml:space="preserve">TBD – vyžadována schválená očekávání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Bezpečnost a ochrana údajů:</w:t>
      </w:r>
      <w:r>
        <w:rPr>
          <w:b w:val="false"/>
          <w:bCs w:val="false"/>
          <w:i w:val="false"/>
          <w:iCs w:val="false"/>
        </w:rPr>
        <w:t xml:space="preserve"> obchodní očekávání, přístupová omezení a odpovědnosti nejsou uvedeny. </w:t>
      </w:r>
      <w:r>
        <w:rPr>
          <w:b/>
          <w:bCs/>
          <w:i w:val="false"/>
          <w:iCs w:val="false"/>
        </w:rPr>
        <w:t xml:space="preserve">TBD – vyžadován schválený bezpečnostní a datový rámec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Správnost a úplnost exportu:</w:t>
      </w:r>
      <w:r>
        <w:rPr>
          <w:b w:val="false"/>
          <w:bCs w:val="false"/>
          <w:i w:val="false"/>
          <w:iCs w:val="false"/>
        </w:rPr>
        <w:t xml:space="preserve"> prahové hodnoty a kontrolní mechanismy jsou </w:t>
      </w:r>
      <w:r>
        <w:rPr>
          <w:b/>
          <w:bCs/>
          <w:i w:val="false"/>
          <w:iCs w:val="false"/>
        </w:rPr>
        <w:t xml:space="preserve">TBD – vyžadována specifikace mzdového procesu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Škálovatelnost:</w:t>
      </w:r>
      <w:r>
        <w:rPr>
          <w:b w:val="false"/>
          <w:bCs w:val="false"/>
          <w:i w:val="false"/>
          <w:iCs w:val="false"/>
        </w:rPr>
        <w:t xml:space="preserve"> je znám rozsah 300 zaměstnanců a 3 poboček; další provozní očekávání jsou </w:t>
      </w:r>
      <w:r>
        <w:rPr>
          <w:b/>
          <w:bCs/>
          <w:i w:val="false"/>
          <w:iCs w:val="false"/>
        </w:rPr>
        <w:t xml:space="preserve">TBD – vyžadováno potvrzení očekávaného růstu a zatížení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Předpoklady, omezení a závislosti</w:t>
      </w:r>
    </w:p>
    <w:p>
      <w:pPr>
        <w:keepNext/>
        <w:spacing w:after="120" w:before="280"/>
      </w:pPr>
      <w:r>
        <w:rPr>
          <w:b/>
          <w:bCs/>
          <w:i w:val="false"/>
          <w:iCs w:val="false"/>
          <w:color w:val="1F232B"/>
          <w:sz w:val="24"/>
          <w:szCs w:val="24"/>
        </w:rPr>
        <w:t xml:space="preserve">Předpoklady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A-001:</w:t>
      </w:r>
      <w:r>
        <w:rPr>
          <w:b w:val="false"/>
          <w:bCs w:val="false"/>
          <w:i w:val="false"/>
          <w:iCs w:val="false"/>
        </w:rPr>
        <w:t xml:space="preserve"> Organizace zahrnuje 300 zaměstnanců a 3 pobočky.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Zdroj: vstup „Účel dokumentu“.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Ověření: </w:t>
      </w:r>
      <w:r>
        <w:rPr>
          <w:b/>
          <w:bCs/>
          <w:i w:val="false"/>
          <w:iCs w:val="false"/>
        </w:rPr>
        <w:t xml:space="preserve">TBD – vyžadováno potvrzení aktuálnosti organizačních údajů.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Dopad při neplatnosti: rozsah a kapacitní požadavky mohou být odlišné.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A-002:</w:t>
      </w:r>
      <w:r>
        <w:rPr>
          <w:b w:val="false"/>
          <w:bCs w:val="false"/>
          <w:i w:val="false"/>
          <w:iCs w:val="false"/>
        </w:rPr>
        <w:t xml:space="preserve"> Zaměstnanci mají mít přístup k podávání žádostí přes web i mobil.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Zdroj: vstup „Účel dokumentu“.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Ověření: </w:t>
      </w:r>
      <w:r>
        <w:rPr>
          <w:b/>
          <w:bCs/>
          <w:i w:val="false"/>
          <w:iCs w:val="false"/>
        </w:rPr>
        <w:t xml:space="preserve">TBD – vyžadováno potvrzení požadovaných kanálů a uživatelských scénářů.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Dopad při neplatnosti: změna BR-003 a BR-004.</w:t>
      </w:r>
    </w:p>
    <w:p>
      <w:pPr>
        <w:keepNext/>
        <w:spacing w:after="120" w:before="280"/>
      </w:pPr>
      <w:r>
        <w:rPr>
          <w:b/>
          <w:bCs/>
          <w:i w:val="false"/>
          <w:iCs w:val="false"/>
          <w:color w:val="1F232B"/>
          <w:sz w:val="24"/>
          <w:szCs w:val="24"/>
        </w:rPr>
        <w:t xml:space="preserve">Omezení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C-001:</w:t>
      </w:r>
      <w:r>
        <w:rPr>
          <w:b w:val="false"/>
          <w:bCs w:val="false"/>
          <w:i w:val="false"/>
          <w:iCs w:val="false"/>
        </w:rPr>
        <w:t xml:space="preserve"> Požadavek na export do mzdového systému omezuje návrh obchodního procesu dostupností a požadavky tohoto systému.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Konkrétní omezení, formát a rozhraní: </w:t>
      </w:r>
      <w:r>
        <w:rPr>
          <w:b/>
          <w:bCs/>
          <w:i w:val="false"/>
          <w:iCs w:val="false"/>
        </w:rPr>
        <w:t xml:space="preserve">TBD – vyžadován integrační podklad.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C-002:</w:t>
      </w:r>
      <w:r>
        <w:rPr>
          <w:b w:val="false"/>
          <w:bCs w:val="false"/>
          <w:i w:val="false"/>
          <w:iCs w:val="false"/>
        </w:rPr>
        <w:t xml:space="preserve"> Požadovaný rozsah musí zohlednit 300 zaměstnanců a 3 pobočky.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Kapacitní a organizační důsledky: </w:t>
      </w:r>
      <w:r>
        <w:rPr>
          <w:b/>
          <w:bCs/>
          <w:i w:val="false"/>
          <w:iCs w:val="false"/>
        </w:rPr>
        <w:t xml:space="preserve">TBD – vyžadována validace rozsahu.</w:t>
      </w:r>
    </w:p>
    <w:p>
      <w:pPr>
        <w:keepNext/>
        <w:spacing w:after="120" w:before="280"/>
      </w:pPr>
      <w:r>
        <w:rPr>
          <w:b/>
          <w:bCs/>
          <w:i w:val="false"/>
          <w:iCs w:val="false"/>
          <w:color w:val="1F232B"/>
          <w:sz w:val="24"/>
          <w:szCs w:val="24"/>
        </w:rPr>
        <w:t xml:space="preserve">Závislosti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D-001:</w:t>
      </w:r>
      <w:r>
        <w:rPr>
          <w:b w:val="false"/>
          <w:bCs w:val="false"/>
          <w:i w:val="false"/>
          <w:iCs w:val="false"/>
        </w:rPr>
        <w:t xml:space="preserve"> Mzdový systém a jeho vlastník jsou závislostí pro BR-007. Poskytovatel, termín a dopad nejsou dodány. </w:t>
      </w:r>
      <w:r>
        <w:rPr>
          <w:b/>
          <w:bCs/>
          <w:i w:val="false"/>
          <w:iCs w:val="false"/>
        </w:rPr>
        <w:t xml:space="preserve">TBD – vyžadována specifikace závislosti.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D-002:</w:t>
      </w:r>
      <w:r>
        <w:rPr>
          <w:b w:val="false"/>
          <w:bCs w:val="false"/>
          <w:i w:val="false"/>
          <w:iCs w:val="false"/>
        </w:rPr>
        <w:t xml:space="preserve"> Schválená organizační struktura a přiřazení nadřízených jsou závislostí pro BR-005. Poskytovatel, termín a dopad nejsou dodány. </w:t>
      </w:r>
      <w:r>
        <w:rPr>
          <w:b/>
          <w:bCs/>
          <w:i w:val="false"/>
          <w:iCs w:val="false"/>
        </w:rPr>
        <w:t xml:space="preserve">TBD – vyžadován model organizačních a schvalovacích vztahů.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D-003:</w:t>
      </w:r>
      <w:r>
        <w:rPr>
          <w:b w:val="false"/>
          <w:bCs w:val="false"/>
          <w:i w:val="false"/>
          <w:iCs w:val="false"/>
        </w:rPr>
        <w:t xml:space="preserve"> Schválená pravidla HR pro dovolené a služební cesty jsou závislostí pro BR-001 až BR-006. Poskytovatel, termín a dopad nejsou dodány. </w:t>
      </w:r>
      <w:r>
        <w:rPr>
          <w:b/>
          <w:bCs/>
          <w:i w:val="false"/>
          <w:iCs w:val="false"/>
        </w:rPr>
        <w:t xml:space="preserve">TBD – vyžadován katalog pravidel.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Akceptační kritéria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Konkrétní akceptační autority, měřítka, termíny a výjimky nebyly dodány. Níže uvedené podmínky představují minimální pracovní základ odvozený z požadavků; jejich schválení je </w:t>
      </w:r>
      <w:r>
        <w:rPr>
          <w:b/>
          <w:bCs/>
          <w:i w:val="false"/>
          <w:iCs w:val="false"/>
        </w:rPr>
        <w:t xml:space="preserve">TBD – vyžadována akceptační specifikace a jmenování akceptační autority.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AC-001 pro BR-001:</w:t>
      </w:r>
      <w:r>
        <w:rPr>
          <w:b w:val="false"/>
          <w:bCs w:val="false"/>
          <w:i w:val="false"/>
          <w:iCs w:val="false"/>
        </w:rPr>
        <w:t xml:space="preserve"> V podporovaném scénáři zaměstnanec vytvoří a odešle žádost o dovolenou. Očekávaný výsledek: žádost je přijata do dalšího procesu. Prahová hodnota, povinné údaje a akceptační autorita: </w:t>
      </w:r>
      <w:r>
        <w:rPr>
          <w:b/>
          <w:bCs/>
          <w:i w:val="false"/>
          <w:iCs w:val="false"/>
        </w:rPr>
        <w:t xml:space="preserve">TBD – vyžadován procesní scénář a rozhodnutí HR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AC-002 pro BR-002:</w:t>
      </w:r>
      <w:r>
        <w:rPr>
          <w:b w:val="false"/>
          <w:bCs w:val="false"/>
          <w:i w:val="false"/>
          <w:iCs w:val="false"/>
        </w:rPr>
        <w:t xml:space="preserve"> V podporovaném scénáři zaměstnanec vytvoří a odešle žádost o služební cestu. Očekávaný výsledek: žádost je přijata do dalšího procesu. Prahová hodnota, povinné údaje a akceptační autorita: </w:t>
      </w:r>
      <w:r>
        <w:rPr>
          <w:b/>
          <w:bCs/>
          <w:i w:val="false"/>
          <w:iCs w:val="false"/>
        </w:rPr>
        <w:t xml:space="preserve">TBD – vyžadován procesní scénář a rozhodnutí HR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AC-003 pro BR-003:</w:t>
      </w:r>
      <w:r>
        <w:rPr>
          <w:b w:val="false"/>
          <w:bCs w:val="false"/>
          <w:i w:val="false"/>
          <w:iCs w:val="false"/>
        </w:rPr>
        <w:t xml:space="preserve"> Zaměstnanec podá žádost přes web. Očekávaný výsledek: žádost je zpracována podle schváleného procesu. Prahová hodnota a akceptační autorita: </w:t>
      </w:r>
      <w:r>
        <w:rPr>
          <w:b/>
          <w:bCs/>
          <w:i w:val="false"/>
          <w:iCs w:val="false"/>
        </w:rPr>
        <w:t xml:space="preserve">TBD – vyžadována akceptační specifikace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AC-004 pro BR-004:</w:t>
      </w:r>
      <w:r>
        <w:rPr>
          <w:b w:val="false"/>
          <w:bCs w:val="false"/>
          <w:i w:val="false"/>
          <w:iCs w:val="false"/>
        </w:rPr>
        <w:t xml:space="preserve"> Zaměstnanec podá žádost přes mobil. Očekávaný výsledek: žádost je zpracována podle schváleného procesu. Prahová hodnota a akceptační autorita: </w:t>
      </w:r>
      <w:r>
        <w:rPr>
          <w:b/>
          <w:bCs/>
          <w:i w:val="false"/>
          <w:iCs w:val="false"/>
        </w:rPr>
        <w:t xml:space="preserve">TBD – vyžadována akceptační specifikace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AC-005 pro BR-005:</w:t>
      </w:r>
      <w:r>
        <w:rPr>
          <w:b w:val="false"/>
          <w:bCs w:val="false"/>
          <w:i w:val="false"/>
          <w:iCs w:val="false"/>
        </w:rPr>
        <w:t xml:space="preserve"> Oprávněný nadřízený schválí žádost jedním kliknutím. Očekávaný výsledek: schválení je zaznamenáno a žádost pokračuje podle pravidel. Pravidla oprávnění, výjimky a akceptační autorita: </w:t>
      </w:r>
      <w:r>
        <w:rPr>
          <w:b/>
          <w:bCs/>
          <w:i w:val="false"/>
          <w:iCs w:val="false"/>
        </w:rPr>
        <w:t xml:space="preserve">TBD – vyžadován schválený model schvalování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AC-006 pro BR-006:</w:t>
      </w:r>
      <w:r>
        <w:rPr>
          <w:b w:val="false"/>
          <w:bCs w:val="false"/>
          <w:i w:val="false"/>
          <w:iCs w:val="false"/>
        </w:rPr>
        <w:t xml:space="preserve"> HR zobrazí přehled žádostí v požadovaném rozsahu. Obsah přehledu, úplnost, aktuálnost a akceptační autorita: </w:t>
      </w:r>
      <w:r>
        <w:rPr>
          <w:b/>
          <w:bCs/>
          <w:i w:val="false"/>
          <w:iCs w:val="false"/>
        </w:rPr>
        <w:t xml:space="preserve">TBD – vyžadována specifikace přehledu HR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AC-007 pro BR-007:</w:t>
      </w:r>
      <w:r>
        <w:rPr>
          <w:b w:val="false"/>
          <w:bCs w:val="false"/>
          <w:i w:val="false"/>
          <w:iCs w:val="false"/>
        </w:rPr>
        <w:t xml:space="preserve"> Relevantní údaje jsou exportovány do mzdového systému. Formát, úplnost, frekvence, chybové stavy a akceptační autorita: </w:t>
      </w:r>
      <w:r>
        <w:rPr>
          <w:b/>
          <w:bCs/>
          <w:i w:val="false"/>
          <w:iCs w:val="false"/>
        </w:rPr>
        <w:t xml:space="preserve">TBD – vyžadována integrační a mzdová specifikace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Výsledky skutečného provedení testů nebo akceptace nejsou ve zdrojích uvedeny. </w:t>
      </w:r>
      <w:r>
        <w:rPr>
          <w:b/>
          <w:bCs/>
          <w:i w:val="false"/>
          <w:iCs w:val="false"/>
        </w:rPr>
        <w:t xml:space="preserve">TBD – vyžadovány testovací záznamy a schválení.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Sledovatelnost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Sledovatelnost je vytvořena pouze na základě jediného dodaného vstupu „Účel dokumentu“. Nejsou k dispozici verze schválených cílů, řízené zdroje ani formální rozhodnutí stakeholderů.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30"/>
        <w:gridCol w:w="1368"/>
        <w:gridCol w:w="2249"/>
        <w:gridCol w:w="2480"/>
        <w:gridCol w:w="2111"/>
      </w:tblGrid>
      <w:tr>
        <w:trPr>
          <w:cantSplit/>
          <w:tblHeader/>
        </w:trPr>
        <w:tc>
          <w:tcPr>
            <w:tcW w:type="dxa" w:w="14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ID zdroje</w:t>
            </w:r>
          </w:p>
        </w:tc>
        <w:tc>
          <w:tcPr>
            <w:tcW w:type="dxa" w:w="136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ID cíle</w:t>
            </w:r>
          </w:p>
        </w:tc>
        <w:tc>
          <w:tcPr>
            <w:tcW w:type="dxa" w:w="22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Vztah</w:t>
            </w:r>
          </w:p>
        </w:tc>
        <w:tc>
          <w:tcPr>
            <w:tcW w:type="dxa" w:w="248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Stav pokrytí</w:t>
            </w:r>
          </w:p>
        </w:tc>
        <w:tc>
          <w:tcPr>
            <w:tcW w:type="dxa" w:w="21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Důkazy</w:t>
            </w:r>
          </w:p>
        </w:tc>
      </w:tr>
      <w:tr>
        <w:trPr>
          <w:cantSplit/>
        </w:trPr>
        <w:tc>
          <w:tcPr>
            <w:tcW w:type="dxa" w:w="14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BN-001</w:t>
            </w:r>
          </w:p>
        </w:tc>
        <w:tc>
          <w:tcPr>
            <w:tcW w:type="dxa" w:w="136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BR-001</w:t>
            </w:r>
          </w:p>
        </w:tc>
        <w:tc>
          <w:tcPr>
            <w:tcW w:type="dxa" w:w="22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Potřeba je naplněna požadavkem</w:t>
            </w:r>
          </w:p>
        </w:tc>
        <w:tc>
          <w:tcPr>
            <w:tcW w:type="dxa" w:w="248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Částečné – akceptace TBD</w:t>
            </w:r>
          </w:p>
        </w:tc>
        <w:tc>
          <w:tcPr>
            <w:tcW w:type="dxa" w:w="21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Vstup „Účel dokumentu“</w:t>
            </w:r>
          </w:p>
        </w:tc>
      </w:tr>
      <w:tr>
        <w:trPr>
          <w:cantSplit/>
        </w:trPr>
        <w:tc>
          <w:tcPr>
            <w:tcW w:type="dxa" w:w="14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BN-001</w:t>
            </w:r>
          </w:p>
        </w:tc>
        <w:tc>
          <w:tcPr>
            <w:tcW w:type="dxa" w:w="136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BR-002</w:t>
            </w:r>
          </w:p>
        </w:tc>
        <w:tc>
          <w:tcPr>
            <w:tcW w:type="dxa" w:w="22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Potřeba je naplněna požadavkem</w:t>
            </w:r>
          </w:p>
        </w:tc>
        <w:tc>
          <w:tcPr>
            <w:tcW w:type="dxa" w:w="248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Částečné – akceptace TBD</w:t>
            </w:r>
          </w:p>
        </w:tc>
        <w:tc>
          <w:tcPr>
            <w:tcW w:type="dxa" w:w="21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Vstup „Účel dokumentu“</w:t>
            </w:r>
          </w:p>
        </w:tc>
      </w:tr>
      <w:tr>
        <w:trPr>
          <w:cantSplit/>
        </w:trPr>
        <w:tc>
          <w:tcPr>
            <w:tcW w:type="dxa" w:w="14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BN-002</w:t>
            </w:r>
          </w:p>
        </w:tc>
        <w:tc>
          <w:tcPr>
            <w:tcW w:type="dxa" w:w="136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BR-003</w:t>
            </w:r>
          </w:p>
        </w:tc>
        <w:tc>
          <w:tcPr>
            <w:tcW w:type="dxa" w:w="22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Potřeba je naplněna požadavkem</w:t>
            </w:r>
          </w:p>
        </w:tc>
        <w:tc>
          <w:tcPr>
            <w:tcW w:type="dxa" w:w="248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Částečné – akceptace TBD</w:t>
            </w:r>
          </w:p>
        </w:tc>
        <w:tc>
          <w:tcPr>
            <w:tcW w:type="dxa" w:w="21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Vstup „Účel dokumentu“</w:t>
            </w:r>
          </w:p>
        </w:tc>
      </w:tr>
      <w:tr>
        <w:trPr>
          <w:cantSplit/>
        </w:trPr>
        <w:tc>
          <w:tcPr>
            <w:tcW w:type="dxa" w:w="14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BN-002</w:t>
            </w:r>
          </w:p>
        </w:tc>
        <w:tc>
          <w:tcPr>
            <w:tcW w:type="dxa" w:w="136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BR-004</w:t>
            </w:r>
          </w:p>
        </w:tc>
        <w:tc>
          <w:tcPr>
            <w:tcW w:type="dxa" w:w="22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Potřeba je naplněna požadavkem</w:t>
            </w:r>
          </w:p>
        </w:tc>
        <w:tc>
          <w:tcPr>
            <w:tcW w:type="dxa" w:w="248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Částečné – akceptace TBD</w:t>
            </w:r>
          </w:p>
        </w:tc>
        <w:tc>
          <w:tcPr>
            <w:tcW w:type="dxa" w:w="21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Vstup „Účel dokumentu“</w:t>
            </w:r>
          </w:p>
        </w:tc>
      </w:tr>
      <w:tr>
        <w:trPr>
          <w:cantSplit/>
        </w:trPr>
        <w:tc>
          <w:tcPr>
            <w:tcW w:type="dxa" w:w="14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BN-003</w:t>
            </w:r>
          </w:p>
        </w:tc>
        <w:tc>
          <w:tcPr>
            <w:tcW w:type="dxa" w:w="136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BR-005</w:t>
            </w:r>
          </w:p>
        </w:tc>
        <w:tc>
          <w:tcPr>
            <w:tcW w:type="dxa" w:w="22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Potřeba je naplněna požadavkem</w:t>
            </w:r>
          </w:p>
        </w:tc>
        <w:tc>
          <w:tcPr>
            <w:tcW w:type="dxa" w:w="248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Částečné – pravidla a akceptace TBD</w:t>
            </w:r>
          </w:p>
        </w:tc>
        <w:tc>
          <w:tcPr>
            <w:tcW w:type="dxa" w:w="21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Vstup „Účel dokumentu“</w:t>
            </w:r>
          </w:p>
        </w:tc>
      </w:tr>
      <w:tr>
        <w:trPr>
          <w:cantSplit/>
        </w:trPr>
        <w:tc>
          <w:tcPr>
            <w:tcW w:type="dxa" w:w="14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BN-004</w:t>
            </w:r>
          </w:p>
        </w:tc>
        <w:tc>
          <w:tcPr>
            <w:tcW w:type="dxa" w:w="136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BR-006</w:t>
            </w:r>
          </w:p>
        </w:tc>
        <w:tc>
          <w:tcPr>
            <w:tcW w:type="dxa" w:w="22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Potřeba je naplněna požadavkem</w:t>
            </w:r>
          </w:p>
        </w:tc>
        <w:tc>
          <w:tcPr>
            <w:tcW w:type="dxa" w:w="248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Částečné – obsah přehledu a akceptace TBD</w:t>
            </w:r>
          </w:p>
        </w:tc>
        <w:tc>
          <w:tcPr>
            <w:tcW w:type="dxa" w:w="21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Vstup „Účel dokumentu“</w:t>
            </w:r>
          </w:p>
        </w:tc>
      </w:tr>
      <w:tr>
        <w:trPr>
          <w:cantSplit/>
        </w:trPr>
        <w:tc>
          <w:tcPr>
            <w:tcW w:type="dxa" w:w="14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BN-005</w:t>
            </w:r>
          </w:p>
        </w:tc>
        <w:tc>
          <w:tcPr>
            <w:tcW w:type="dxa" w:w="136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BR-007</w:t>
            </w:r>
          </w:p>
        </w:tc>
        <w:tc>
          <w:tcPr>
            <w:tcW w:type="dxa" w:w="22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Potřeba je naplněna požadavkem</w:t>
            </w:r>
          </w:p>
        </w:tc>
        <w:tc>
          <w:tcPr>
            <w:tcW w:type="dxa" w:w="248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Částečné – integrační pravidla a akceptace TBD</w:t>
            </w:r>
          </w:p>
        </w:tc>
        <w:tc>
          <w:tcPr>
            <w:tcW w:type="dxa" w:w="21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Vstup „Účel dokumentu“</w:t>
            </w:r>
          </w:p>
        </w:tc>
      </w:tr>
    </w:tbl>
    <w:p>
      <w:pPr>
        <w:spacing w:after="120"/>
      </w:pP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Formální vazby na schválené obchodní cíle nejsou dostupné. </w:t>
      </w:r>
      <w:r>
        <w:rPr>
          <w:b/>
          <w:bCs/>
          <w:i w:val="false"/>
          <w:iCs w:val="false"/>
        </w:rPr>
        <w:t xml:space="preserve">TBD – vyžadován schválený katalog cílů a potřeb.</w:t>
      </w:r>
      <w:r>
        <w:rPr>
          <w:b w:val="false"/>
          <w:bCs w:val="false"/>
          <w:i w:val="false"/>
          <w:iCs w:val="false"/>
        </w:rPr>
        <w:t xml:space="preserve"> Neidentifikované sirotčí požadavky, duplicity a konflikty nelze bez validace baseline uzavřít. </w:t>
      </w:r>
      <w:r>
        <w:rPr>
          <w:b/>
          <w:bCs/>
          <w:i w:val="false"/>
          <w:iCs w:val="false"/>
        </w:rPr>
        <w:t xml:space="preserve">TBD – vyžadována kontrola úplnosti, duplicity a konzistence stakeholdery.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Otevřené otázky a schválení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45"/>
        <w:gridCol w:w="1819"/>
        <w:gridCol w:w="1625"/>
        <w:gridCol w:w="1335"/>
        <w:gridCol w:w="1238"/>
        <w:gridCol w:w="1528"/>
        <w:gridCol w:w="1048"/>
      </w:tblGrid>
      <w:tr>
        <w:trPr>
          <w:cantSplit/>
          <w:tblHeader/>
        </w:trPr>
        <w:tc>
          <w:tcPr>
            <w:tcW w:type="dxa" w:w="104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ID problému</w:t>
            </w:r>
          </w:p>
        </w:tc>
        <w:tc>
          <w:tcPr>
            <w:tcW w:type="dxa" w:w="18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Problém</w:t>
            </w:r>
          </w:p>
        </w:tc>
        <w:tc>
          <w:tcPr>
            <w:tcW w:type="dxa" w:w="162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Dopad</w:t>
            </w:r>
          </w:p>
        </w:tc>
        <w:tc>
          <w:tcPr>
            <w:tcW w:type="dxa" w:w="133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Vlastník</w:t>
            </w:r>
          </w:p>
        </w:tc>
        <w:tc>
          <w:tcPr>
            <w:tcW w:type="dxa" w:w="12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Termín splnění</w:t>
            </w:r>
          </w:p>
        </w:tc>
        <w:tc>
          <w:tcPr>
            <w:tcW w:type="dxa" w:w="15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Potřebné rozhodnutí</w:t>
            </w:r>
          </w:p>
        </w:tc>
        <w:tc>
          <w:tcPr>
            <w:tcW w:type="dxa" w:w="104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104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OI-001</w:t>
            </w:r>
          </w:p>
        </w:tc>
        <w:tc>
          <w:tcPr>
            <w:tcW w:type="dxa" w:w="18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Chybí schválený obchodní kontext a cíle.</w:t>
            </w:r>
          </w:p>
        </w:tc>
        <w:tc>
          <w:tcPr>
            <w:tcW w:type="dxa" w:w="162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Nelze potvrdit motivaci, měřítka úspěchu ani cílové výsledky.</w:t>
            </w:r>
          </w:p>
        </w:tc>
        <w:tc>
          <w:tcPr>
            <w:tcW w:type="dxa" w:w="133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 vlastník iniciativy</w:t>
            </w:r>
          </w:p>
        </w:tc>
        <w:tc>
          <w:tcPr>
            <w:tcW w:type="dxa" w:w="12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vyžadováno datum</w:t>
            </w:r>
          </w:p>
        </w:tc>
        <w:tc>
          <w:tcPr>
            <w:tcW w:type="dxa" w:w="15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Schválit kontext, cíle a jejich priority.</w:t>
            </w:r>
          </w:p>
        </w:tc>
        <w:tc>
          <w:tcPr>
            <w:tcW w:type="dxa" w:w="104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Otevřeno</w:t>
            </w:r>
          </w:p>
        </w:tc>
      </w:tr>
      <w:tr>
        <w:trPr>
          <w:cantSplit/>
        </w:trPr>
        <w:tc>
          <w:tcPr>
            <w:tcW w:type="dxa" w:w="104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OI-002</w:t>
            </w:r>
          </w:p>
        </w:tc>
        <w:tc>
          <w:tcPr>
            <w:tcW w:type="dxa" w:w="18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Chybí schválený rozsah.</w:t>
            </w:r>
          </w:p>
        </w:tc>
        <w:tc>
          <w:tcPr>
            <w:tcW w:type="dxa" w:w="162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Nelze potvrdit organizační, procesní, datové a integrační hranice.</w:t>
            </w:r>
          </w:p>
        </w:tc>
        <w:tc>
          <w:tcPr>
            <w:tcW w:type="dxa" w:w="133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 business owner</w:t>
            </w:r>
          </w:p>
        </w:tc>
        <w:tc>
          <w:tcPr>
            <w:tcW w:type="dxa" w:w="12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vyžadováno datum</w:t>
            </w:r>
          </w:p>
        </w:tc>
        <w:tc>
          <w:tcPr>
            <w:tcW w:type="dxa" w:w="15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Schválit zahrnutý a vyloučený rozsah.</w:t>
            </w:r>
          </w:p>
        </w:tc>
        <w:tc>
          <w:tcPr>
            <w:tcW w:type="dxa" w:w="104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Otevřeno</w:t>
            </w:r>
          </w:p>
        </w:tc>
      </w:tr>
      <w:tr>
        <w:trPr>
          <w:cantSplit/>
        </w:trPr>
        <w:tc>
          <w:tcPr>
            <w:tcW w:type="dxa" w:w="104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OI-003</w:t>
            </w:r>
          </w:p>
        </w:tc>
        <w:tc>
          <w:tcPr>
            <w:tcW w:type="dxa" w:w="18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Chybí katalog zainteresovaných stran a uživatelů.</w:t>
            </w:r>
          </w:p>
        </w:tc>
        <w:tc>
          <w:tcPr>
            <w:tcW w:type="dxa" w:w="162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Nelze potvrdit role, oprávnění, konzultace ani akceptační autority.</w:t>
            </w:r>
          </w:p>
        </w:tc>
        <w:tc>
          <w:tcPr>
            <w:tcW w:type="dxa" w:w="133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 business owner</w:t>
            </w:r>
          </w:p>
        </w:tc>
        <w:tc>
          <w:tcPr>
            <w:tcW w:type="dxa" w:w="12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vyžadováno datum</w:t>
            </w:r>
          </w:p>
        </w:tc>
        <w:tc>
          <w:tcPr>
            <w:tcW w:type="dxa" w:w="15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Potvrdit dotčené role a jejich odpovědnosti.</w:t>
            </w:r>
          </w:p>
        </w:tc>
        <w:tc>
          <w:tcPr>
            <w:tcW w:type="dxa" w:w="104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Otevřeno</w:t>
            </w:r>
          </w:p>
        </w:tc>
      </w:tr>
      <w:tr>
        <w:trPr>
          <w:cantSplit/>
        </w:trPr>
        <w:tc>
          <w:tcPr>
            <w:tcW w:type="dxa" w:w="104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OI-004</w:t>
            </w:r>
          </w:p>
        </w:tc>
        <w:tc>
          <w:tcPr>
            <w:tcW w:type="dxa" w:w="18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Chybí formální seznam obchodních potřeb.</w:t>
            </w:r>
          </w:p>
        </w:tc>
        <w:tc>
          <w:tcPr>
            <w:tcW w:type="dxa" w:w="162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Sledovatelnost a prioritizace jsou pouze pracovní.</w:t>
            </w:r>
          </w:p>
        </w:tc>
        <w:tc>
          <w:tcPr>
            <w:tcW w:type="dxa" w:w="133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 business owner</w:t>
            </w:r>
          </w:p>
        </w:tc>
        <w:tc>
          <w:tcPr>
            <w:tcW w:type="dxa" w:w="12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vyžadováno datum</w:t>
            </w:r>
          </w:p>
        </w:tc>
        <w:tc>
          <w:tcPr>
            <w:tcW w:type="dxa" w:w="15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Schválit BN-001 až BN-005 nebo dodat opravený seznam.</w:t>
            </w:r>
          </w:p>
        </w:tc>
        <w:tc>
          <w:tcPr>
            <w:tcW w:type="dxa" w:w="104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Otevřeno</w:t>
            </w:r>
          </w:p>
        </w:tc>
      </w:tr>
      <w:tr>
        <w:trPr>
          <w:cantSplit/>
        </w:trPr>
        <w:tc>
          <w:tcPr>
            <w:tcW w:type="dxa" w:w="104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OI-005</w:t>
            </w:r>
          </w:p>
        </w:tc>
        <w:tc>
          <w:tcPr>
            <w:tcW w:type="dxa" w:w="18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Nejsou dodána pravidla pro podávání a schvalování žádostí.</w:t>
            </w:r>
          </w:p>
        </w:tc>
        <w:tc>
          <w:tcPr>
            <w:tcW w:type="dxa" w:w="162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Nelze ověřit oprávnění, výjimky, zastupování ani stavový model.</w:t>
            </w:r>
          </w:p>
        </w:tc>
        <w:tc>
          <w:tcPr>
            <w:tcW w:type="dxa" w:w="133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 vlastník HR procesu</w:t>
            </w:r>
          </w:p>
        </w:tc>
        <w:tc>
          <w:tcPr>
            <w:tcW w:type="dxa" w:w="12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vyžadováno datum</w:t>
            </w:r>
          </w:p>
        </w:tc>
        <w:tc>
          <w:tcPr>
            <w:tcW w:type="dxa" w:w="15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Schválit obchodní pravidla BRL-001 až BRL-004.</w:t>
            </w:r>
          </w:p>
        </w:tc>
        <w:tc>
          <w:tcPr>
            <w:tcW w:type="dxa" w:w="104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Otevřeno</w:t>
            </w:r>
          </w:p>
        </w:tc>
      </w:tr>
      <w:tr>
        <w:trPr>
          <w:cantSplit/>
        </w:trPr>
        <w:tc>
          <w:tcPr>
            <w:tcW w:type="dxa" w:w="104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OI-006</w:t>
            </w:r>
          </w:p>
        </w:tc>
        <w:tc>
          <w:tcPr>
            <w:tcW w:type="dxa" w:w="18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Není specifikován obsah přehledu HR.</w:t>
            </w:r>
          </w:p>
        </w:tc>
        <w:tc>
          <w:tcPr>
            <w:tcW w:type="dxa" w:w="162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BR-006 nelze úplně ověřit.</w:t>
            </w:r>
          </w:p>
        </w:tc>
        <w:tc>
          <w:tcPr>
            <w:tcW w:type="dxa" w:w="133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 vlastník HR procesu</w:t>
            </w:r>
          </w:p>
        </w:tc>
        <w:tc>
          <w:tcPr>
            <w:tcW w:type="dxa" w:w="12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vyžadováno datum</w:t>
            </w:r>
          </w:p>
        </w:tc>
        <w:tc>
          <w:tcPr>
            <w:tcW w:type="dxa" w:w="15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Schválit obsah, rozsah a aktuálnost přehledu.</w:t>
            </w:r>
          </w:p>
        </w:tc>
        <w:tc>
          <w:tcPr>
            <w:tcW w:type="dxa" w:w="104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Otevřeno</w:t>
            </w:r>
          </w:p>
        </w:tc>
      </w:tr>
      <w:tr>
        <w:trPr>
          <w:cantSplit/>
        </w:trPr>
        <w:tc>
          <w:tcPr>
            <w:tcW w:type="dxa" w:w="104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OI-007</w:t>
            </w:r>
          </w:p>
        </w:tc>
        <w:tc>
          <w:tcPr>
            <w:tcW w:type="dxa" w:w="18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Není specifikován export do mzdového systému.</w:t>
            </w:r>
          </w:p>
        </w:tc>
        <w:tc>
          <w:tcPr>
            <w:tcW w:type="dxa" w:w="162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BR-007 nelze úplně ověřit a existuje integrační závislost.</w:t>
            </w:r>
          </w:p>
        </w:tc>
        <w:tc>
          <w:tcPr>
            <w:tcW w:type="dxa" w:w="133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 vlastník mzdového procesu</w:t>
            </w:r>
          </w:p>
        </w:tc>
        <w:tc>
          <w:tcPr>
            <w:tcW w:type="dxa" w:w="12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vyžadováno datum</w:t>
            </w:r>
          </w:p>
        </w:tc>
        <w:tc>
          <w:tcPr>
            <w:tcW w:type="dxa" w:w="15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Schválit datový obsah, formát, frekvenci a způsob předání.</w:t>
            </w:r>
          </w:p>
        </w:tc>
        <w:tc>
          <w:tcPr>
            <w:tcW w:type="dxa" w:w="104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Otevřeno</w:t>
            </w:r>
          </w:p>
        </w:tc>
      </w:tr>
      <w:tr>
        <w:trPr>
          <w:cantSplit/>
        </w:trPr>
        <w:tc>
          <w:tcPr>
            <w:tcW w:type="dxa" w:w="104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OI-008</w:t>
            </w:r>
          </w:p>
        </w:tc>
        <w:tc>
          <w:tcPr>
            <w:tcW w:type="dxa" w:w="18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Chybí měřitelné akceptační prahy a akceptační autority.</w:t>
            </w:r>
          </w:p>
        </w:tc>
        <w:tc>
          <w:tcPr>
            <w:tcW w:type="dxa" w:w="162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Nelze uzavřít akceptaci BR-001 až BR-007.</w:t>
            </w:r>
          </w:p>
        </w:tc>
        <w:tc>
          <w:tcPr>
            <w:tcW w:type="dxa" w:w="133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 akceptační vlastník</w:t>
            </w:r>
          </w:p>
        </w:tc>
        <w:tc>
          <w:tcPr>
            <w:tcW w:type="dxa" w:w="12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vyžadováno datum</w:t>
            </w:r>
          </w:p>
        </w:tc>
        <w:tc>
          <w:tcPr>
            <w:tcW w:type="dxa" w:w="15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Schválit akceptační scénáře, prahy a autority.</w:t>
            </w:r>
          </w:p>
        </w:tc>
        <w:tc>
          <w:tcPr>
            <w:tcW w:type="dxa" w:w="104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Otevřeno</w:t>
            </w:r>
          </w:p>
        </w:tc>
      </w:tr>
      <w:tr>
        <w:trPr>
          <w:cantSplit/>
        </w:trPr>
        <w:tc>
          <w:tcPr>
            <w:tcW w:type="dxa" w:w="104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OI-009</w:t>
            </w:r>
          </w:p>
        </w:tc>
        <w:tc>
          <w:tcPr>
            <w:tcW w:type="dxa" w:w="18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Chybí schválení této baseline.</w:t>
            </w:r>
          </w:p>
        </w:tc>
        <w:tc>
          <w:tcPr>
            <w:tcW w:type="dxa" w:w="162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Dokument nelze považovat za schválený základ pro realizaci.</w:t>
            </w:r>
          </w:p>
        </w:tc>
        <w:tc>
          <w:tcPr>
            <w:tcW w:type="dxa" w:w="133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vyžadována schvalovací autorita</w:t>
            </w:r>
          </w:p>
        </w:tc>
        <w:tc>
          <w:tcPr>
            <w:tcW w:type="dxa" w:w="12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vyžadováno datum</w:t>
            </w:r>
          </w:p>
        </w:tc>
        <w:tc>
          <w:tcPr>
            <w:tcW w:type="dxa" w:w="15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Schválit dokument a jeho verzi.</w:t>
            </w:r>
          </w:p>
        </w:tc>
        <w:tc>
          <w:tcPr>
            <w:tcW w:type="dxa" w:w="104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Otevřeno</w:t>
            </w:r>
          </w:p>
        </w:tc>
      </w:tr>
      <w:tr>
        <w:trPr>
          <w:cantSplit/>
        </w:trPr>
        <w:tc>
          <w:tcPr>
            <w:tcW w:type="dxa" w:w="104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OI-010</w:t>
            </w:r>
          </w:p>
        </w:tc>
        <w:tc>
          <w:tcPr>
            <w:tcW w:type="dxa" w:w="18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Nebyla dodána podkladová dokumentace mimo intake brief.</w:t>
            </w:r>
          </w:p>
        </w:tc>
        <w:tc>
          <w:tcPr>
            <w:tcW w:type="dxa" w:w="162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Nelze ověřit konflikty, aktuálnost zdrojů ani úplnost požadavků.</w:t>
            </w:r>
          </w:p>
        </w:tc>
        <w:tc>
          <w:tcPr>
            <w:tcW w:type="dxa" w:w="133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 vlastník dokumentace</w:t>
            </w:r>
          </w:p>
        </w:tc>
        <w:tc>
          <w:tcPr>
            <w:tcW w:type="dxa" w:w="12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– vyžadováno datum</w:t>
            </w:r>
          </w:p>
        </w:tc>
        <w:tc>
          <w:tcPr>
            <w:tcW w:type="dxa" w:w="15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Doplnit a schválit zdrojové podklady.</w:t>
            </w:r>
          </w:p>
        </w:tc>
        <w:tc>
          <w:tcPr>
            <w:tcW w:type="dxa" w:w="104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Otevřeno</w:t>
            </w:r>
          </w:p>
        </w:tc>
      </w:tr>
    </w:tbl>
    <w:p>
      <w:pPr>
        <w:spacing w:after="120"/>
      </w:pP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6B7079"/>
        <w:sz w:val="18"/>
        <w:szCs w:val="18"/>
      </w:rPr>
      <w:t xml:space="preserve">Vygenerováno pomocí AI v Baaito – před použitím zkontrolujte.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32B"/>
        <w:sz w:val="21"/>
        <w:szCs w:val="21"/>
      </w:rPr>
    </w:rPrDefault>
    <w:pPrDefault>
      <w:pPr>
        <w:spacing w:line="38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Requirements Document — Elektronické schvalování dovolených a služebních cest</dc:title>
  <dc:subject>AI-generated document</dc:subject>
  <dc:creator>Baaito (AI-generated)</dc:creator>
  <cp:keywords>AI-generated, Baaito</cp:keywords>
  <dc:description>Generator: Baaito (AI-generated), model: gpt-5.6-luna, date: 2026-10-28</dc:description>
  <cp:lastModifiedBy>Baaito</cp:lastModifiedBy>
  <cp:revision>1</cp:revision>
  <dcterms:created xsi:type="dcterms:W3CDTF">2026-10-28T19:01:12.240Z</dcterms:created>
  <dcterms:modified xsi:type="dcterms:W3CDTF">2026-10-28T19:01:12.240Z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Baaito (AI-generated)</vt:lpwstr>
  </property>
  <property fmtid="{D5CDD505-2E9C-101B-9397-08002B2CF9AE}" pid="3" name="AI model">
    <vt:lpwstr>gpt-5.6-luna</vt:lpwstr>
  </property>
  <property fmtid="{D5CDD505-2E9C-101B-9397-08002B2CF9AE}" pid="4" name="Generated">
    <vt:lpwstr>2026-10-28</vt:lpwstr>
  </property>
</Properties>
</file>