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8DBE0" w:sz="4" w:space="8"/>
        </w:pBdr>
        <w:spacing w:after="240"/>
      </w:pPr>
      <w:r>
        <w:rPr>
          <w:rFonts w:ascii="Calibri" w:cs="Calibri" w:eastAsia="Calibri" w:hAnsi="Calibri"/>
          <w:b/>
          <w:bCs/>
          <w:color w:val="1F232B"/>
          <w:sz w:val="36"/>
          <w:szCs w:val="36"/>
        </w:rPr>
        <w:t xml:space="preserve">Business Case — Zavedení CRM pro obchodní tým</w:t>
      </w:r>
    </w:p>
    <w:p>
      <w:pPr>
        <w:keepNext/>
        <w:spacing w:after="200" w:before="0"/>
      </w:pPr>
      <w:r>
        <w:rPr>
          <w:b/>
          <w:bCs/>
          <w:i w:val="false"/>
          <w:iCs w:val="false"/>
          <w:color w:val="1F232B"/>
          <w:sz w:val="39"/>
          <w:szCs w:val="39"/>
        </w:rPr>
        <w:t xml:space="preserve">Obchodní případ zavedení CRM systému</w:t>
      </w:r>
    </w:p>
    <w:p>
      <w:pPr>
        <w:keepNext/>
        <w:spacing w:after="160" w:before="400"/>
      </w:pPr>
      <w:r>
        <w:rPr>
          <w:b/>
          <w:bCs/>
          <w:i w:val="false"/>
          <w:iCs w:val="false"/>
          <w:color w:val="1F232B"/>
          <w:sz w:val="30"/>
          <w:szCs w:val="30"/>
        </w:rPr>
        <w:t xml:space="preserve">Manažerské shrnutí</w:t>
      </w:r>
    </w:p>
    <w:p>
      <w:pPr>
        <w:spacing w:after="180" w:line="384"/>
        <w:jc w:val="both"/>
      </w:pPr>
      <w:r>
        <w:rPr>
          <w:b w:val="false"/>
          <w:bCs w:val="false"/>
          <w:i w:val="false"/>
          <w:iCs w:val="false"/>
        </w:rPr>
        <w:t xml:space="preserve">Středně velká obchodní firma se 120 zaměstnanci v současnosti eviduje zákazníky v Excelu a e-mailech. Obchodníci nemají dostupnou historii komunikace, nabídky se ztrácejí a vedení nemá přehled o pipeline. Navrhovaným záměrem je zavedení CRM systému pro 25 obchodníků.</w:t>
      </w:r>
    </w:p>
    <w:p>
      <w:pPr>
        <w:spacing w:after="180" w:line="384"/>
        <w:jc w:val="both"/>
      </w:pPr>
      <w:r>
        <w:rPr>
          <w:b w:val="false"/>
          <w:bCs w:val="false"/>
          <w:i w:val="false"/>
          <w:iCs w:val="false"/>
        </w:rPr>
        <w:t xml:space="preserve">Pro rozhodnutí jsou stanoveny tyto rámcové limity: rozpočet do 60 000 € a spuštění do 6 měsíců. Podklady však neobsahují srovnání konkrétních variant, rozpad nákladů, definované přínosy, rizika, rozsah ani harmonogram jednotlivých kroků.</w:t>
      </w:r>
    </w:p>
    <w:p>
      <w:pPr>
        <w:spacing w:after="180" w:line="384"/>
        <w:jc w:val="both"/>
      </w:pPr>
      <w:r>
        <w:rPr>
          <w:b w:val="false"/>
          <w:bCs w:val="false"/>
          <w:i w:val="false"/>
          <w:iCs w:val="false"/>
        </w:rPr>
        <w:t xml:space="preserve">Na základě dostupných informací nelze podloženě doporučit schválení, zamítnutí ani odložení konkrétní varianty. Rozhodnutí vyžaduje doplnění obchodního případu, zejména variant řešení, nákladové kalkulace, očekávaných přínosů, rizik, rozsahu a milníků.</w:t>
      </w:r>
    </w:p>
    <w:p>
      <w:pPr>
        <w:keepNext/>
        <w:spacing w:after="160" w:before="400"/>
      </w:pPr>
      <w:r>
        <w:rPr>
          <w:b/>
          <w:bCs/>
          <w:i w:val="false"/>
          <w:iCs w:val="false"/>
          <w:color w:val="1F232B"/>
          <w:sz w:val="30"/>
          <w:szCs w:val="30"/>
        </w:rPr>
        <w:t xml:space="preserve">Východiska a obchodní potřeba</w:t>
      </w:r>
    </w:p>
    <w:p>
      <w:pPr>
        <w:keepNext/>
        <w:spacing w:after="120" w:before="280"/>
      </w:pPr>
      <w:r>
        <w:rPr>
          <w:b/>
          <w:bCs/>
          <w:i w:val="false"/>
          <w:iCs w:val="false"/>
          <w:color w:val="1F232B"/>
          <w:sz w:val="24"/>
          <w:szCs w:val="24"/>
        </w:rPr>
        <w:t xml:space="preserve">Potvrzená výchozí situace</w:t>
      </w:r>
    </w:p>
    <w:p>
      <w:pPr>
        <w:pStyle w:val="ListParagraph"/>
        <w:numPr>
          <w:ilvl w:val="0"/>
          <w:numId w:val="2"/>
        </w:numPr>
        <w:spacing w:after="80" w:line="384"/>
      </w:pPr>
      <w:r>
        <w:rPr>
          <w:b w:val="false"/>
          <w:bCs w:val="false"/>
          <w:i w:val="false"/>
          <w:iCs w:val="false"/>
        </w:rPr>
        <w:t xml:space="preserve">Firma má 120 zaměstnanců.</w:t>
      </w:r>
    </w:p>
    <w:p>
      <w:pPr>
        <w:pStyle w:val="ListParagraph"/>
        <w:numPr>
          <w:ilvl w:val="0"/>
          <w:numId w:val="2"/>
        </w:numPr>
        <w:spacing w:after="80" w:line="384"/>
      </w:pPr>
      <w:r>
        <w:rPr>
          <w:b w:val="false"/>
          <w:bCs w:val="false"/>
          <w:i w:val="false"/>
          <w:iCs w:val="false"/>
        </w:rPr>
        <w:t xml:space="preserve">Zákazníci jsou evidováni v Excelu a e-mailech.</w:t>
      </w:r>
    </w:p>
    <w:p>
      <w:pPr>
        <w:pStyle w:val="ListParagraph"/>
        <w:numPr>
          <w:ilvl w:val="0"/>
          <w:numId w:val="2"/>
        </w:numPr>
        <w:spacing w:after="80" w:line="384"/>
      </w:pPr>
      <w:r>
        <w:rPr>
          <w:b w:val="false"/>
          <w:bCs w:val="false"/>
          <w:i w:val="false"/>
          <w:iCs w:val="false"/>
        </w:rPr>
        <w:t xml:space="preserve">Obchodníci nevidí historii komunikace.</w:t>
      </w:r>
    </w:p>
    <w:p>
      <w:pPr>
        <w:pStyle w:val="ListParagraph"/>
        <w:numPr>
          <w:ilvl w:val="0"/>
          <w:numId w:val="2"/>
        </w:numPr>
        <w:spacing w:after="80" w:line="384"/>
      </w:pPr>
      <w:r>
        <w:rPr>
          <w:b w:val="false"/>
          <w:bCs w:val="false"/>
          <w:i w:val="false"/>
          <w:iCs w:val="false"/>
        </w:rPr>
        <w:t xml:space="preserve">Nabídky se ztrácejí.</w:t>
      </w:r>
    </w:p>
    <w:p>
      <w:pPr>
        <w:pStyle w:val="ListParagraph"/>
        <w:numPr>
          <w:ilvl w:val="0"/>
          <w:numId w:val="2"/>
        </w:numPr>
        <w:spacing w:after="80" w:line="384"/>
      </w:pPr>
      <w:r>
        <w:rPr>
          <w:b w:val="false"/>
          <w:bCs w:val="false"/>
          <w:i w:val="false"/>
          <w:iCs w:val="false"/>
        </w:rPr>
        <w:t xml:space="preserve">Vedení nemá přehled o pipeline.</w:t>
      </w:r>
    </w:p>
    <w:p>
      <w:pPr>
        <w:pStyle w:val="ListParagraph"/>
        <w:numPr>
          <w:ilvl w:val="0"/>
          <w:numId w:val="2"/>
        </w:numPr>
        <w:spacing w:after="240" w:line="384"/>
      </w:pPr>
      <w:r>
        <w:rPr>
          <w:b w:val="false"/>
          <w:bCs w:val="false"/>
          <w:i w:val="false"/>
          <w:iCs w:val="false"/>
        </w:rPr>
        <w:t xml:space="preserve">Záměr se týká zavedení CRM systému pro 25 obchodníků.</w:t>
      </w:r>
    </w:p>
    <w:p>
      <w:pPr>
        <w:spacing w:after="180" w:line="384"/>
        <w:jc w:val="both"/>
      </w:pPr>
      <w:r>
        <w:rPr>
          <w:b w:val="false"/>
          <w:bCs w:val="false"/>
          <w:i w:val="false"/>
          <w:iCs w:val="false"/>
        </w:rPr>
        <w:t xml:space="preserve">Tyto skutečnosti představují identifikované provozní problémy v evidenci zákazníků, dostupnosti obchodních informací a řízení obchodní pipeline. Konkrétní rozsah dopadů na tržby, produktivitu, kvalitu dat nebo zákaznickou zkušenost není doložen.</w:t>
      </w:r>
    </w:p>
    <w:p>
      <w:pPr>
        <w:keepNext/>
        <w:spacing w:after="120" w:before="280"/>
      </w:pPr>
      <w:r>
        <w:rPr>
          <w:b/>
          <w:bCs/>
          <w:i w:val="false"/>
          <w:iCs w:val="false"/>
          <w:color w:val="1F232B"/>
          <w:sz w:val="24"/>
          <w:szCs w:val="24"/>
        </w:rPr>
        <w:t xml:space="preserve">Obchodní potřeba a kontext</w:t>
      </w:r>
    </w:p>
    <w:p>
      <w:pPr>
        <w:spacing w:after="180" w:line="384"/>
        <w:jc w:val="both"/>
      </w:pPr>
      <w:r>
        <w:rPr>
          <w:b w:val="false"/>
          <w:bCs w:val="false"/>
          <w:i w:val="false"/>
          <w:iCs w:val="false"/>
        </w:rPr>
        <w:t xml:space="preserve">Obchodní potřeba spočívá v centralizaci a zpřístupnění informací o zákaznících, komunikaci a nabídkách a ve zlepšení přehledu vedení o pipeline. Konkrétní požadavky na řešení, procesní nedostatky, strategické priority a provozní ukazatele jsou TBD — vyžadován je vstup k obchodnímu kontextu, současnému výkonu a požadavkům zainteresovaných stran.</w:t>
      </w:r>
    </w:p>
    <w:p>
      <w:pPr>
        <w:keepNext/>
        <w:spacing w:after="120" w:before="280"/>
      </w:pPr>
      <w:r>
        <w:rPr>
          <w:b/>
          <w:bCs/>
          <w:i w:val="false"/>
          <w:iCs w:val="false"/>
          <w:color w:val="1F232B"/>
          <w:sz w:val="24"/>
          <w:szCs w:val="24"/>
        </w:rPr>
        <w:t xml:space="preserve">Důsledek nepřijetí opatření</w:t>
      </w:r>
    </w:p>
    <w:p>
      <w:pPr>
        <w:spacing w:after="180" w:line="384"/>
        <w:jc w:val="both"/>
      </w:pPr>
      <w:r>
        <w:rPr>
          <w:b w:val="false"/>
          <w:bCs w:val="false"/>
          <w:i w:val="false"/>
          <w:iCs w:val="false"/>
        </w:rPr>
        <w:t xml:space="preserve">Důsledky zachování současného stavu nejsou kvantifikovány. Možné pokračování problémů s dostupností historie komunikace, ztrátou nabídek a nedostatečným přehledem o pipeline je uvedeno jako provozní riziko vyplývající z popsaného stavu, nikoli jako doložená prognóza. Kvantifikace dopadů a případné alternativy neprovedení změny jsou TBD — vyžadována je analýza současného stavu a variant.</w:t>
      </w:r>
    </w:p>
    <w:p>
      <w:pPr>
        <w:keepNext/>
        <w:spacing w:after="160" w:before="400"/>
      </w:pPr>
      <w:r>
        <w:rPr>
          <w:b/>
          <w:bCs/>
          <w:i w:val="false"/>
          <w:iCs w:val="false"/>
          <w:color w:val="1F232B"/>
          <w:sz w:val="30"/>
          <w:szCs w:val="30"/>
        </w:rPr>
        <w:t xml:space="preserve">Cíle a strategický soulad</w:t>
      </w:r>
    </w:p>
    <w:p>
      <w:pPr>
        <w:keepNext/>
        <w:spacing w:after="120" w:before="280"/>
      </w:pPr>
      <w:r>
        <w:rPr>
          <w:b/>
          <w:bCs/>
          <w:i w:val="false"/>
          <w:iCs w:val="false"/>
          <w:color w:val="1F232B"/>
          <w:sz w:val="24"/>
          <w:szCs w:val="24"/>
        </w:rPr>
        <w:t xml:space="preserve">Předběžné cíle</w:t>
      </w:r>
    </w:p>
    <w:p>
      <w:pPr>
        <w:pStyle w:val="ListParagraph"/>
        <w:numPr>
          <w:ilvl w:val="0"/>
          <w:numId w:val="2"/>
        </w:numPr>
        <w:spacing w:after="80" w:line="384"/>
      </w:pPr>
      <w:r>
        <w:rPr>
          <w:b/>
          <w:bCs/>
          <w:i w:val="false"/>
          <w:iCs w:val="false"/>
        </w:rPr>
        <w:t xml:space="preserve">Centralizovat evidenci zákazníků a obchodní komunikace</w:t>
      </w:r>
      <w:r>
        <w:rPr>
          <w:b w:val="false"/>
          <w:bCs w:val="false"/>
          <w:i w:val="false"/>
          <w:iCs w:val="false"/>
        </w:rPr>
        <w:t xml:space="preserve"> v CRM systému — vychází z problému evidence v Excelu a e-mailech.</w:t>
      </w:r>
    </w:p>
    <w:p>
      <w:pPr>
        <w:pStyle w:val="ListParagraph"/>
        <w:numPr>
          <w:ilvl w:val="0"/>
          <w:numId w:val="2"/>
        </w:numPr>
        <w:spacing w:after="80" w:line="384"/>
      </w:pPr>
      <w:r>
        <w:rPr>
          <w:b/>
          <w:bCs/>
          <w:i w:val="false"/>
          <w:iCs w:val="false"/>
        </w:rPr>
        <w:t xml:space="preserve">Zlepšit dostupnost historie komunikace pro obchodníky</w:t>
      </w:r>
      <w:r>
        <w:rPr>
          <w:b w:val="false"/>
          <w:bCs w:val="false"/>
          <w:i w:val="false"/>
          <w:iCs w:val="false"/>
        </w:rPr>
        <w:t xml:space="preserve"> — vychází z uvedené nedostupnosti historie.</w:t>
      </w:r>
    </w:p>
    <w:p>
      <w:pPr>
        <w:pStyle w:val="ListParagraph"/>
        <w:numPr>
          <w:ilvl w:val="0"/>
          <w:numId w:val="2"/>
        </w:numPr>
        <w:spacing w:after="80" w:line="384"/>
      </w:pPr>
      <w:r>
        <w:rPr>
          <w:b/>
          <w:bCs/>
          <w:i w:val="false"/>
          <w:iCs w:val="false"/>
        </w:rPr>
        <w:t xml:space="preserve">Snížit riziko ztráty nabídek</w:t>
      </w:r>
      <w:r>
        <w:rPr>
          <w:b w:val="false"/>
          <w:bCs w:val="false"/>
          <w:i w:val="false"/>
          <w:iCs w:val="false"/>
        </w:rPr>
        <w:t xml:space="preserve"> — vychází z uvedeného problému se ztrácením nabídek.</w:t>
      </w:r>
    </w:p>
    <w:p>
      <w:pPr>
        <w:pStyle w:val="ListParagraph"/>
        <w:numPr>
          <w:ilvl w:val="0"/>
          <w:numId w:val="2"/>
        </w:numPr>
        <w:spacing w:after="80" w:line="384"/>
      </w:pPr>
      <w:r>
        <w:rPr>
          <w:b/>
          <w:bCs/>
          <w:i w:val="false"/>
          <w:iCs w:val="false"/>
        </w:rPr>
        <w:t xml:space="preserve">Zajistit vedení přehled o obchodní pipeline</w:t>
      </w:r>
      <w:r>
        <w:rPr>
          <w:b w:val="false"/>
          <w:bCs w:val="false"/>
          <w:i w:val="false"/>
          <w:iCs w:val="false"/>
        </w:rPr>
        <w:t xml:space="preserve"> — vychází z uvedeného nedostatku přehledu.</w:t>
      </w:r>
    </w:p>
    <w:p>
      <w:pPr>
        <w:pStyle w:val="ListParagraph"/>
        <w:numPr>
          <w:ilvl w:val="0"/>
          <w:numId w:val="2"/>
        </w:numPr>
        <w:spacing w:after="240" w:line="384"/>
      </w:pPr>
      <w:r>
        <w:rPr>
          <w:b/>
          <w:bCs/>
          <w:i w:val="false"/>
          <w:iCs w:val="false"/>
        </w:rPr>
        <w:t xml:space="preserve">Zavést řešení pro 25 obchodníků</w:t>
      </w:r>
      <w:r>
        <w:rPr>
          <w:b w:val="false"/>
          <w:bCs w:val="false"/>
          <w:i w:val="false"/>
          <w:iCs w:val="false"/>
        </w:rPr>
        <w:t xml:space="preserve"> — vychází z požadovaného cílového rozsahu uživatelů.</w:t>
      </w:r>
    </w:p>
    <w:p>
      <w:pPr>
        <w:spacing w:after="180" w:line="384"/>
        <w:jc w:val="both"/>
      </w:pPr>
      <w:r>
        <w:rPr>
          <w:b w:val="false"/>
          <w:bCs w:val="false"/>
          <w:i w:val="false"/>
          <w:iCs w:val="false"/>
        </w:rPr>
        <w:t xml:space="preserve">Konkrétní měřitelné cílové hodnoty, výchozí baseline, odpovědnosti za dosažení cílů a způsob ověření úspěchu jsou TBD — vyžadován je schválený seznam cílů, ukazatelů a vlastníků.</w:t>
      </w:r>
    </w:p>
    <w:p>
      <w:pPr>
        <w:keepNext/>
        <w:spacing w:after="120" w:before="280"/>
      </w:pPr>
      <w:r>
        <w:rPr>
          <w:b/>
          <w:bCs/>
          <w:i w:val="false"/>
          <w:iCs w:val="false"/>
          <w:color w:val="1F232B"/>
          <w:sz w:val="24"/>
          <w:szCs w:val="24"/>
        </w:rPr>
        <w:t xml:space="preserve">Strategický soulad</w:t>
      </w:r>
    </w:p>
    <w:p>
      <w:pPr>
        <w:spacing w:after="180" w:line="384"/>
        <w:jc w:val="both"/>
      </w:pPr>
      <w:r>
        <w:rPr>
          <w:b w:val="false"/>
          <w:bCs w:val="false"/>
          <w:i w:val="false"/>
          <w:iCs w:val="false"/>
        </w:rPr>
        <w:t xml:space="preserve">Strategický soulad iniciativy není doložen. Vazba na schválenou strategii, obchodní priority, mandát nebo jiné řídicí dokumenty je TBD — vyžadován je příslušný strategický nebo řídicí vstup.</w:t>
      </w:r>
    </w:p>
    <w:p>
      <w:pPr>
        <w:keepNext/>
        <w:spacing w:after="160" w:before="400"/>
      </w:pPr>
      <w:r>
        <w:rPr>
          <w:b/>
          <w:bCs/>
          <w:i w:val="false"/>
          <w:iCs w:val="false"/>
          <w:color w:val="1F232B"/>
          <w:sz w:val="30"/>
          <w:szCs w:val="30"/>
        </w:rPr>
        <w:t xml:space="preserve">Zvažované možnosti</w:t>
      </w:r>
    </w:p>
    <w:p>
      <w:pPr>
        <w:spacing w:after="180" w:line="384"/>
        <w:jc w:val="both"/>
      </w:pPr>
      <w:r>
        <w:rPr>
          <w:b w:val="false"/>
          <w:bCs w:val="false"/>
          <w:i w:val="false"/>
          <w:iCs w:val="false"/>
        </w:rPr>
        <w:t xml:space="preserve">Konkrétní možnosti řešení nebyly dodány. Následující tabulka proto neuvádí nepodložené varianty ani automaticky nepřidává možnost „bez zásahu“. Pro srovnání je nutné dodat popis všech posuzovaných možností včetně jejich rozsahu, provozního modelu, závislostí a předpokladů.</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36"/>
        <w:gridCol w:w="2198"/>
        <w:gridCol w:w="2048"/>
        <w:gridCol w:w="1929"/>
        <w:gridCol w:w="2371"/>
        <w:gridCol w:w="2466"/>
        <w:gridCol w:w="2322"/>
      </w:tblGrid>
      <w:tr>
        <w:trPr>
          <w:cantSplit/>
          <w:tblHeader/>
        </w:trPr>
        <w:tc>
          <w:tcPr>
            <w:tcW w:type="dxa" w:w="123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Možnost</w:t>
            </w:r>
          </w:p>
        </w:tc>
        <w:tc>
          <w:tcPr>
            <w:tcW w:type="dxa" w:w="219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Popis</w:t>
            </w:r>
          </w:p>
        </w:tc>
        <w:tc>
          <w:tcPr>
            <w:tcW w:type="dxa" w:w="204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Náklady</w:t>
            </w:r>
          </w:p>
        </w:tc>
        <w:tc>
          <w:tcPr>
            <w:tcW w:type="dxa" w:w="192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Přínos</w:t>
            </w:r>
          </w:p>
        </w:tc>
        <w:tc>
          <w:tcPr>
            <w:tcW w:type="dxa" w:w="237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Riziko</w:t>
            </w:r>
          </w:p>
        </w:tc>
        <w:tc>
          <w:tcPr>
            <w:tcW w:type="dxa" w:w="246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Proveditelnost</w:t>
            </w:r>
          </w:p>
        </w:tc>
        <w:tc>
          <w:tcPr>
            <w:tcW w:type="dxa" w:w="232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Důkazy</w:t>
            </w:r>
          </w:p>
        </w:tc>
      </w:tr>
      <w:tr>
        <w:trPr>
          <w:cantSplit/>
        </w:trPr>
        <w:tc>
          <w:tcPr>
            <w:tcW w:type="dxa" w:w="123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1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Vyžadován seznam posuzovaných možností a jejich rozsah.</w:t>
            </w:r>
          </w:p>
        </w:tc>
        <w:tc>
          <w:tcPr>
            <w:tcW w:type="dxa" w:w="20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odhad nákladů včetně měny a časového rozložení.</w:t>
            </w:r>
          </w:p>
        </w:tc>
        <w:tc>
          <w:tcPr>
            <w:tcW w:type="dxa" w:w="19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vyžadovány očekávané výstupy a přínosy.</w:t>
            </w:r>
          </w:p>
        </w:tc>
        <w:tc>
          <w:tcPr>
            <w:tcW w:type="dxa" w:w="237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vyžadovány identifikované nejistoty a rizika.</w:t>
            </w:r>
          </w:p>
        </w:tc>
        <w:tc>
          <w:tcPr>
            <w:tcW w:type="dxa" w:w="246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posouzení dostupnosti zdrojů, technologií a času.</w:t>
            </w:r>
          </w:p>
        </w:tc>
        <w:tc>
          <w:tcPr>
            <w:tcW w:type="dxa" w:w="23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Dodaný brief uvádí potřebu CRM pro 25 obchodníků, rozpočet do 60 000 € a spuštění do 6 měsíců.</w:t>
            </w:r>
          </w:p>
        </w:tc>
      </w:tr>
    </w:tbl>
    <w:p>
      <w:pPr>
        <w:spacing w:after="120"/>
      </w:pPr>
    </w:p>
    <w:p>
      <w:pPr>
        <w:keepNext/>
        <w:spacing w:after="160" w:before="400"/>
      </w:pPr>
      <w:r>
        <w:rPr>
          <w:b/>
          <w:bCs/>
          <w:i w:val="false"/>
          <w:iCs w:val="false"/>
          <w:color w:val="1F232B"/>
          <w:sz w:val="30"/>
          <w:szCs w:val="30"/>
        </w:rPr>
        <w:t xml:space="preserve">Rozsah a výstupy</w:t>
      </w:r>
    </w:p>
    <w:p>
      <w:pPr>
        <w:keepNext/>
        <w:spacing w:after="120" w:before="280"/>
      </w:pPr>
      <w:r>
        <w:rPr>
          <w:b/>
          <w:bCs/>
          <w:i w:val="false"/>
          <w:iCs w:val="false"/>
          <w:color w:val="1F232B"/>
          <w:sz w:val="24"/>
          <w:szCs w:val="24"/>
        </w:rPr>
        <w:t xml:space="preserve">Předběžně zahrnuté prvky</w:t>
      </w:r>
    </w:p>
    <w:p>
      <w:pPr>
        <w:pStyle w:val="ListParagraph"/>
        <w:numPr>
          <w:ilvl w:val="0"/>
          <w:numId w:val="2"/>
        </w:numPr>
        <w:spacing w:after="80" w:line="384"/>
      </w:pPr>
      <w:r>
        <w:rPr>
          <w:b w:val="false"/>
          <w:bCs w:val="false"/>
          <w:i w:val="false"/>
          <w:iCs w:val="false"/>
        </w:rPr>
        <w:t xml:space="preserve">Zavedení CRM systému pro 25 obchodníků — konkrétní produkt nebo řešení je TBD.</w:t>
      </w:r>
    </w:p>
    <w:p>
      <w:pPr>
        <w:pStyle w:val="ListParagraph"/>
        <w:numPr>
          <w:ilvl w:val="0"/>
          <w:numId w:val="2"/>
        </w:numPr>
        <w:spacing w:after="80" w:line="384"/>
      </w:pPr>
      <w:r>
        <w:rPr>
          <w:b w:val="false"/>
          <w:bCs w:val="false"/>
          <w:i w:val="false"/>
          <w:iCs w:val="false"/>
        </w:rPr>
        <w:t xml:space="preserve">Řešení evidence zákazníků, historie komunikace, nabídek a přehledu o pipeline — podrobné funkční požadavky jsou TBD.</w:t>
      </w:r>
    </w:p>
    <w:p>
      <w:pPr>
        <w:pStyle w:val="ListParagraph"/>
        <w:numPr>
          <w:ilvl w:val="0"/>
          <w:numId w:val="2"/>
        </w:numPr>
        <w:spacing w:after="80" w:line="384"/>
      </w:pPr>
      <w:r>
        <w:rPr>
          <w:b w:val="false"/>
          <w:bCs w:val="false"/>
          <w:i w:val="false"/>
          <w:iCs w:val="false"/>
        </w:rPr>
        <w:t xml:space="preserve">Rozpočtový rámec do 60 000 € — není upřesněno, zda zahrnuje implementaci, licence, migraci, školení, integrace a provoz.</w:t>
      </w:r>
    </w:p>
    <w:p>
      <w:pPr>
        <w:pStyle w:val="ListParagraph"/>
        <w:numPr>
          <w:ilvl w:val="0"/>
          <w:numId w:val="2"/>
        </w:numPr>
        <w:spacing w:after="240" w:line="384"/>
      </w:pPr>
      <w:r>
        <w:rPr>
          <w:b w:val="false"/>
          <w:bCs w:val="false"/>
          <w:i w:val="false"/>
          <w:iCs w:val="false"/>
        </w:rPr>
        <w:t xml:space="preserve">Cíl spuštění do 6 měsíců — nejsou doloženy jednotlivé etapy ani výchozí datum.</w:t>
      </w:r>
    </w:p>
    <w:p>
      <w:pPr>
        <w:keepNext/>
        <w:spacing w:after="120" w:before="280"/>
      </w:pPr>
      <w:r>
        <w:rPr>
          <w:b/>
          <w:bCs/>
          <w:i w:val="false"/>
          <w:iCs w:val="false"/>
          <w:color w:val="1F232B"/>
          <w:sz w:val="24"/>
          <w:szCs w:val="24"/>
        </w:rPr>
        <w:t xml:space="preserve">Vyloučené nebo neurčené prvky</w:t>
      </w:r>
    </w:p>
    <w:p>
      <w:pPr>
        <w:spacing w:after="180" w:line="384"/>
        <w:jc w:val="both"/>
      </w:pPr>
      <w:r>
        <w:rPr>
          <w:b w:val="false"/>
          <w:bCs w:val="false"/>
          <w:i w:val="false"/>
          <w:iCs w:val="false"/>
        </w:rPr>
        <w:t xml:space="preserve">Rozsah funkcí, migrace dat z Excelu a e-mailů, integrace s dalšími systémy, správa uživatelů, školení, podpora, bezpečnostní požadavky, provozní model a případné zapojení dalších zaměstnanců jsou TBD — vyžadován je schválený rozsah a seznam výstupů.</w:t>
      </w:r>
    </w:p>
    <w:p>
      <w:pPr>
        <w:keepNext/>
        <w:spacing w:after="120" w:before="280"/>
      </w:pPr>
      <w:r>
        <w:rPr>
          <w:b/>
          <w:bCs/>
          <w:i w:val="false"/>
          <w:iCs w:val="false"/>
          <w:color w:val="1F232B"/>
          <w:sz w:val="24"/>
          <w:szCs w:val="24"/>
        </w:rPr>
        <w:t xml:space="preserve">Závislosti a změny rozsahu</w:t>
      </w:r>
    </w:p>
    <w:p>
      <w:pPr>
        <w:spacing w:after="180" w:line="384"/>
        <w:jc w:val="both"/>
      </w:pPr>
      <w:r>
        <w:rPr>
          <w:b w:val="false"/>
          <w:bCs w:val="false"/>
          <w:i w:val="false"/>
          <w:iCs w:val="false"/>
        </w:rPr>
        <w:t xml:space="preserve">Závislosti na dostupnosti obchodníků, kvalitě stávajících dat, výběru dodavatele, technické architektuře, interních kapacitách a schvalovacím procesu nejsou popsány. Autorita oprávněná schvalovat změny rozsahu je TBD — vyžadován je řídicí model a určení rozhodovací pravomoci.</w:t>
      </w:r>
    </w:p>
    <w:p>
      <w:pPr>
        <w:keepNext/>
        <w:spacing w:after="160" w:before="400"/>
      </w:pPr>
      <w:r>
        <w:rPr>
          <w:b/>
          <w:bCs/>
          <w:i w:val="false"/>
          <w:iCs w:val="false"/>
          <w:color w:val="1F232B"/>
          <w:sz w:val="30"/>
          <w:szCs w:val="30"/>
        </w:rPr>
        <w:t xml:space="preserve">Zainteresované strany</w:t>
      </w:r>
    </w:p>
    <w:p>
      <w:pPr>
        <w:pStyle w:val="ListParagraph"/>
        <w:numPr>
          <w:ilvl w:val="0"/>
          <w:numId w:val="2"/>
        </w:numPr>
        <w:spacing w:after="80" w:line="384"/>
      </w:pPr>
      <w:r>
        <w:rPr>
          <w:b/>
          <w:bCs/>
          <w:i w:val="false"/>
          <w:iCs w:val="false"/>
        </w:rPr>
        <w:t xml:space="preserve">Vedení firmy:</w:t>
      </w:r>
      <w:r>
        <w:rPr>
          <w:b w:val="false"/>
          <w:bCs w:val="false"/>
          <w:i w:val="false"/>
          <w:iCs w:val="false"/>
        </w:rPr>
        <w:t xml:space="preserve"> potřebuje přehled o obchodní pipeline; konkrétní rozhodovací role a požadavky jsou TBD.</w:t>
      </w:r>
    </w:p>
    <w:p>
      <w:pPr>
        <w:pStyle w:val="ListParagraph"/>
        <w:numPr>
          <w:ilvl w:val="0"/>
          <w:numId w:val="2"/>
        </w:numPr>
        <w:spacing w:after="80" w:line="384"/>
      </w:pPr>
      <w:r>
        <w:rPr>
          <w:b/>
          <w:bCs/>
          <w:i w:val="false"/>
          <w:iCs w:val="false"/>
        </w:rPr>
        <w:t xml:space="preserve">25 obchodníků:</w:t>
      </w:r>
      <w:r>
        <w:rPr>
          <w:b w:val="false"/>
          <w:bCs w:val="false"/>
          <w:i w:val="false"/>
          <w:iCs w:val="false"/>
        </w:rPr>
        <w:t xml:space="preserve"> jsou zamýšlenými uživateli CRM systému a jsou přímo ovlivněni změnou evidence a obchodních procesů; jejich konkrétní požadavky a dostupnost pro implementaci jsou TBD.</w:t>
      </w:r>
    </w:p>
    <w:p>
      <w:pPr>
        <w:pStyle w:val="ListParagraph"/>
        <w:numPr>
          <w:ilvl w:val="0"/>
          <w:numId w:val="2"/>
        </w:numPr>
        <w:spacing w:after="80" w:line="384"/>
      </w:pPr>
      <w:r>
        <w:rPr>
          <w:b/>
          <w:bCs/>
          <w:i w:val="false"/>
          <w:iCs w:val="false"/>
        </w:rPr>
        <w:t xml:space="preserve">Vlastník obchodního procesu:</w:t>
      </w:r>
      <w:r>
        <w:rPr>
          <w:b w:val="false"/>
          <w:bCs w:val="false"/>
          <w:i w:val="false"/>
          <w:iCs w:val="false"/>
        </w:rPr>
        <w:t xml:space="preserve"> TBD — vyžadováno určení osoby odpovědné za obchodní proces a realizaci očekávaných přínosů.</w:t>
      </w:r>
    </w:p>
    <w:p>
      <w:pPr>
        <w:pStyle w:val="ListParagraph"/>
        <w:numPr>
          <w:ilvl w:val="0"/>
          <w:numId w:val="2"/>
        </w:numPr>
        <w:spacing w:after="80" w:line="384"/>
      </w:pPr>
      <w:r>
        <w:rPr>
          <w:b/>
          <w:bCs/>
          <w:i w:val="false"/>
          <w:iCs w:val="false"/>
        </w:rPr>
        <w:t xml:space="preserve">Sponzor nebo schvalující autorita:</w:t>
      </w:r>
      <w:r>
        <w:rPr>
          <w:b w:val="false"/>
          <w:bCs w:val="false"/>
          <w:i w:val="false"/>
          <w:iCs w:val="false"/>
        </w:rPr>
        <w:t xml:space="preserve"> TBD — vyžadováno určení osoby nebo orgánu oprávněného rozhodnout o investici.</w:t>
      </w:r>
    </w:p>
    <w:p>
      <w:pPr>
        <w:pStyle w:val="ListParagraph"/>
        <w:numPr>
          <w:ilvl w:val="0"/>
          <w:numId w:val="2"/>
        </w:numPr>
        <w:spacing w:after="80" w:line="384"/>
      </w:pPr>
      <w:r>
        <w:rPr>
          <w:b/>
          <w:bCs/>
          <w:i w:val="false"/>
          <w:iCs w:val="false"/>
        </w:rPr>
        <w:t xml:space="preserve">IT nebo technologická funkce:</w:t>
      </w:r>
      <w:r>
        <w:rPr>
          <w:b w:val="false"/>
          <w:bCs w:val="false"/>
          <w:i w:val="false"/>
          <w:iCs w:val="false"/>
        </w:rPr>
        <w:t xml:space="preserve"> TBD — vyžadováno určení odpovědnosti za technické posouzení, integrace a provoz.</w:t>
      </w:r>
    </w:p>
    <w:p>
      <w:pPr>
        <w:pStyle w:val="ListParagraph"/>
        <w:numPr>
          <w:ilvl w:val="0"/>
          <w:numId w:val="2"/>
        </w:numPr>
        <w:spacing w:after="80" w:line="384"/>
      </w:pPr>
      <w:r>
        <w:rPr>
          <w:b/>
          <w:bCs/>
          <w:i w:val="false"/>
          <w:iCs w:val="false"/>
        </w:rPr>
        <w:t xml:space="preserve">Finance nebo vlastník rozpočtu:</w:t>
      </w:r>
      <w:r>
        <w:rPr>
          <w:b w:val="false"/>
          <w:bCs w:val="false"/>
          <w:i w:val="false"/>
          <w:iCs w:val="false"/>
        </w:rPr>
        <w:t xml:space="preserve"> TBD — vyžadováno určení odpovědnosti za posouzení dostupnosti rozpočtu do 60 000 €.</w:t>
      </w:r>
    </w:p>
    <w:p>
      <w:pPr>
        <w:pStyle w:val="ListParagraph"/>
        <w:numPr>
          <w:ilvl w:val="0"/>
          <w:numId w:val="2"/>
        </w:numPr>
        <w:spacing w:after="240" w:line="384"/>
      </w:pPr>
      <w:r>
        <w:rPr>
          <w:b/>
          <w:bCs/>
          <w:i w:val="false"/>
          <w:iCs w:val="false"/>
        </w:rPr>
        <w:t xml:space="preserve">Dodavatel CRM řešení:</w:t>
      </w:r>
      <w:r>
        <w:rPr>
          <w:b w:val="false"/>
          <w:bCs w:val="false"/>
          <w:i w:val="false"/>
          <w:iCs w:val="false"/>
        </w:rPr>
        <w:t xml:space="preserve"> TBD — nebyl dodán seznam potenciálních dodavatelů ani způsob výběru.</w:t>
      </w:r>
    </w:p>
    <w:p>
      <w:pPr>
        <w:spacing w:after="180" w:line="384"/>
        <w:jc w:val="both"/>
      </w:pPr>
      <w:r>
        <w:rPr>
          <w:b w:val="false"/>
          <w:bCs w:val="false"/>
          <w:i w:val="false"/>
          <w:iCs w:val="false"/>
        </w:rPr>
        <w:t xml:space="preserve">Úroveň vlivu, míra podpory, očekávání jednotlivých stran a jejich role v rozhodování nejsou doloženy. Tyto údaje jsou TBD — vyžadován je seznam zainteresovaných stran nebo výstup z jejich konzultace.</w:t>
      </w:r>
    </w:p>
    <w:p>
      <w:pPr>
        <w:keepNext/>
        <w:spacing w:after="160" w:before="400"/>
      </w:pPr>
      <w:r>
        <w:rPr>
          <w:b/>
          <w:bCs/>
          <w:i w:val="false"/>
          <w:iCs w:val="false"/>
          <w:color w:val="1F232B"/>
          <w:sz w:val="30"/>
          <w:szCs w:val="30"/>
        </w:rPr>
        <w:t xml:space="preserve">Náklady a potřeba zdrojů</w:t>
      </w:r>
    </w:p>
    <w:p>
      <w:pPr>
        <w:spacing w:after="180" w:line="384"/>
        <w:jc w:val="both"/>
      </w:pPr>
      <w:r>
        <w:rPr>
          <w:b w:val="false"/>
          <w:bCs w:val="false"/>
          <w:i w:val="false"/>
          <w:iCs w:val="false"/>
        </w:rPr>
        <w:t xml:space="preserve">Dodaný brief stanovuje pouze maximální rozpočtový rámec 60 000 €. Neobsahuje rozpad nákladů, měnu již uvádí jako €, časové zařazení, klasifikaci jednorázových a opakovaných nákladů ani zdroj odhadu.</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78"/>
        <w:gridCol w:w="2343"/>
        <w:gridCol w:w="1902"/>
        <w:gridCol w:w="1215"/>
        <w:gridCol w:w="2621"/>
        <w:gridCol w:w="2580"/>
        <w:gridCol w:w="2431"/>
      </w:tblGrid>
      <w:tr>
        <w:trPr>
          <w:cantSplit/>
          <w:tblHeader/>
        </w:trPr>
        <w:tc>
          <w:tcPr>
            <w:tcW w:type="dxa" w:w="147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ID nákladu</w:t>
            </w:r>
          </w:p>
        </w:tc>
        <w:tc>
          <w:tcPr>
            <w:tcW w:type="dxa" w:w="234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Kategorie</w:t>
            </w:r>
          </w:p>
        </w:tc>
        <w:tc>
          <w:tcPr>
            <w:tcW w:type="dxa" w:w="190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Částka</w:t>
            </w:r>
          </w:p>
        </w:tc>
        <w:tc>
          <w:tcPr>
            <w:tcW w:type="dxa" w:w="121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Měna</w:t>
            </w:r>
          </w:p>
        </w:tc>
        <w:tc>
          <w:tcPr>
            <w:tcW w:type="dxa" w:w="262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Časové zařazení</w:t>
            </w:r>
          </w:p>
        </w:tc>
        <w:tc>
          <w:tcPr>
            <w:tcW w:type="dxa" w:w="258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Základ</w:t>
            </w:r>
          </w:p>
        </w:tc>
        <w:tc>
          <w:tcPr>
            <w:tcW w:type="dxa" w:w="243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Zdroj</w:t>
            </w:r>
          </w:p>
        </w:tc>
      </w:tr>
      <w:tr>
        <w:trPr>
          <w:cantSplit/>
        </w:trPr>
        <w:tc>
          <w:tcPr>
            <w:tcW w:type="dxa" w:w="147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N-01</w:t>
            </w:r>
          </w:p>
        </w:tc>
        <w:tc>
          <w:tcPr>
            <w:tcW w:type="dxa" w:w="234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Celkový rozpočtový rámec</w:t>
            </w:r>
          </w:p>
        </w:tc>
        <w:tc>
          <w:tcPr>
            <w:tcW w:type="dxa" w:w="19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 60 000</w:t>
            </w:r>
          </w:p>
        </w:tc>
        <w:tc>
          <w:tcPr>
            <w:tcW w:type="dxa" w:w="12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w:t>
            </w:r>
          </w:p>
        </w:tc>
        <w:tc>
          <w:tcPr>
            <w:tcW w:type="dxa" w:w="26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časové rozložení</w:t>
            </w:r>
          </w:p>
        </w:tc>
        <w:tc>
          <w:tcPr>
            <w:tcW w:type="dxa" w:w="25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Rámcový limit pro zavedení CRM; detailní kalkulace není k dispozici.</w:t>
            </w:r>
          </w:p>
        </w:tc>
        <w:tc>
          <w:tcPr>
            <w:tcW w:type="dxa" w:w="243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Dodaný brief</w:t>
            </w:r>
          </w:p>
        </w:tc>
      </w:tr>
      <w:tr>
        <w:trPr>
          <w:cantSplit/>
        </w:trPr>
        <w:tc>
          <w:tcPr>
            <w:tcW w:type="dxa" w:w="147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N-02</w:t>
            </w:r>
          </w:p>
        </w:tc>
        <w:tc>
          <w:tcPr>
            <w:tcW w:type="dxa" w:w="234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Licence nebo předplatné</w:t>
            </w:r>
          </w:p>
        </w:tc>
        <w:tc>
          <w:tcPr>
            <w:tcW w:type="dxa" w:w="19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odhad</w:t>
            </w:r>
          </w:p>
        </w:tc>
        <w:tc>
          <w:tcPr>
            <w:tcW w:type="dxa" w:w="12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w:t>
            </w:r>
          </w:p>
        </w:tc>
        <w:tc>
          <w:tcPr>
            <w:tcW w:type="dxa" w:w="26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vyžadována informace o jednorázové nebo opakované povaze</w:t>
            </w:r>
          </w:p>
        </w:tc>
        <w:tc>
          <w:tcPr>
            <w:tcW w:type="dxa" w:w="25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Nebylo dodáno.</w:t>
            </w:r>
          </w:p>
        </w:tc>
        <w:tc>
          <w:tcPr>
            <w:tcW w:type="dxa" w:w="243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vyžadována nabídka nebo odhad</w:t>
            </w:r>
          </w:p>
        </w:tc>
      </w:tr>
      <w:tr>
        <w:trPr>
          <w:cantSplit/>
        </w:trPr>
        <w:tc>
          <w:tcPr>
            <w:tcW w:type="dxa" w:w="147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N-03</w:t>
            </w:r>
          </w:p>
        </w:tc>
        <w:tc>
          <w:tcPr>
            <w:tcW w:type="dxa" w:w="234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Implementace a konfigurace</w:t>
            </w:r>
          </w:p>
        </w:tc>
        <w:tc>
          <w:tcPr>
            <w:tcW w:type="dxa" w:w="19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odhad</w:t>
            </w:r>
          </w:p>
        </w:tc>
        <w:tc>
          <w:tcPr>
            <w:tcW w:type="dxa" w:w="12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w:t>
            </w:r>
          </w:p>
        </w:tc>
        <w:tc>
          <w:tcPr>
            <w:tcW w:type="dxa" w:w="26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5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Nebylo dodáno.</w:t>
            </w:r>
          </w:p>
        </w:tc>
        <w:tc>
          <w:tcPr>
            <w:tcW w:type="dxa" w:w="243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vyžadována nabídka nebo odhad</w:t>
            </w:r>
          </w:p>
        </w:tc>
      </w:tr>
      <w:tr>
        <w:trPr>
          <w:cantSplit/>
        </w:trPr>
        <w:tc>
          <w:tcPr>
            <w:tcW w:type="dxa" w:w="147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N-04</w:t>
            </w:r>
          </w:p>
        </w:tc>
        <w:tc>
          <w:tcPr>
            <w:tcW w:type="dxa" w:w="234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Migrace dat z Excelu a e-mailů</w:t>
            </w:r>
          </w:p>
        </w:tc>
        <w:tc>
          <w:tcPr>
            <w:tcW w:type="dxa" w:w="19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odhad</w:t>
            </w:r>
          </w:p>
        </w:tc>
        <w:tc>
          <w:tcPr>
            <w:tcW w:type="dxa" w:w="12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w:t>
            </w:r>
          </w:p>
        </w:tc>
        <w:tc>
          <w:tcPr>
            <w:tcW w:type="dxa" w:w="26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5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Nebylo dodáno.</w:t>
            </w:r>
          </w:p>
        </w:tc>
        <w:tc>
          <w:tcPr>
            <w:tcW w:type="dxa" w:w="243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vyžadována analýza dat a nabídka</w:t>
            </w:r>
          </w:p>
        </w:tc>
      </w:tr>
      <w:tr>
        <w:trPr>
          <w:cantSplit/>
        </w:trPr>
        <w:tc>
          <w:tcPr>
            <w:tcW w:type="dxa" w:w="147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N-05</w:t>
            </w:r>
          </w:p>
        </w:tc>
        <w:tc>
          <w:tcPr>
            <w:tcW w:type="dxa" w:w="234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Školení a řízení změny</w:t>
            </w:r>
          </w:p>
        </w:tc>
        <w:tc>
          <w:tcPr>
            <w:tcW w:type="dxa" w:w="19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odhad</w:t>
            </w:r>
          </w:p>
        </w:tc>
        <w:tc>
          <w:tcPr>
            <w:tcW w:type="dxa" w:w="12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w:t>
            </w:r>
          </w:p>
        </w:tc>
        <w:tc>
          <w:tcPr>
            <w:tcW w:type="dxa" w:w="26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5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Nebylo dodáno.</w:t>
            </w:r>
          </w:p>
        </w:tc>
        <w:tc>
          <w:tcPr>
            <w:tcW w:type="dxa" w:w="243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plán zavedení</w:t>
            </w:r>
          </w:p>
        </w:tc>
      </w:tr>
      <w:tr>
        <w:trPr>
          <w:cantSplit/>
        </w:trPr>
        <w:tc>
          <w:tcPr>
            <w:tcW w:type="dxa" w:w="147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N-06</w:t>
            </w:r>
          </w:p>
        </w:tc>
        <w:tc>
          <w:tcPr>
            <w:tcW w:type="dxa" w:w="234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Integrace, podpora a provoz</w:t>
            </w:r>
          </w:p>
        </w:tc>
        <w:tc>
          <w:tcPr>
            <w:tcW w:type="dxa" w:w="19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odhad</w:t>
            </w:r>
          </w:p>
        </w:tc>
        <w:tc>
          <w:tcPr>
            <w:tcW w:type="dxa" w:w="12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w:t>
            </w:r>
          </w:p>
        </w:tc>
        <w:tc>
          <w:tcPr>
            <w:tcW w:type="dxa" w:w="26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5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Nebylo dodáno.</w:t>
            </w:r>
          </w:p>
        </w:tc>
        <w:tc>
          <w:tcPr>
            <w:tcW w:type="dxa" w:w="243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vyžadovány technické požadavky a provozní model</w:t>
            </w:r>
          </w:p>
        </w:tc>
      </w:tr>
    </w:tbl>
    <w:p>
      <w:pPr>
        <w:spacing w:after="120"/>
      </w:pPr>
    </w:p>
    <w:p>
      <w:pPr>
        <w:spacing w:after="180" w:line="384"/>
        <w:jc w:val="both"/>
      </w:pPr>
      <w:r>
        <w:rPr>
          <w:b w:val="false"/>
          <w:bCs w:val="false"/>
          <w:i w:val="false"/>
          <w:iCs w:val="false"/>
        </w:rPr>
        <w:t xml:space="preserve">Potřebné personální kapacity, odborné schopnosti, technologie, případné nákupní kapacity a provozní zdroje jsou TBD — vyžadován je plán zdrojů a posouzení jejich dostupnosti. Není potvrzeno, zda rozpočet do 60 000 € zahrnuje všechny uvedené kategorie.</w:t>
      </w:r>
    </w:p>
    <w:p>
      <w:pPr>
        <w:keepNext/>
        <w:spacing w:after="160" w:before="400"/>
      </w:pPr>
      <w:r>
        <w:rPr>
          <w:b/>
          <w:bCs/>
          <w:i w:val="false"/>
          <w:iCs w:val="false"/>
          <w:color w:val="1F232B"/>
          <w:sz w:val="30"/>
          <w:szCs w:val="30"/>
        </w:rPr>
        <w:t xml:space="preserve">Přínosy a hodnota</w:t>
      </w:r>
    </w:p>
    <w:p>
      <w:pPr>
        <w:spacing w:after="180" w:line="384"/>
        <w:jc w:val="both"/>
      </w:pPr>
      <w:r>
        <w:rPr>
          <w:b w:val="false"/>
          <w:bCs w:val="false"/>
          <w:i w:val="false"/>
          <w:iCs w:val="false"/>
        </w:rPr>
        <w:t xml:space="preserve">Očekávané přínosy vycházejí pouze z popsaných problémů a požadovaného záměru. Finanční hodnota, výchozí hodnoty, cílové hodnoty, období realizace a vlastníci přínosů nebyli dodáni. Nelze proto vypočítat celkovou hodnotu přínosů ani návratnost investice.</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28"/>
        <w:gridCol w:w="2766"/>
        <w:gridCol w:w="2197"/>
        <w:gridCol w:w="2554"/>
        <w:gridCol w:w="1913"/>
        <w:gridCol w:w="1719"/>
        <w:gridCol w:w="2093"/>
      </w:tblGrid>
      <w:tr>
        <w:trPr>
          <w:cantSplit/>
          <w:tblHeader/>
        </w:trPr>
        <w:tc>
          <w:tcPr>
            <w:tcW w:type="dxa" w:w="132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ID přínosu</w:t>
            </w:r>
          </w:p>
        </w:tc>
        <w:tc>
          <w:tcPr>
            <w:tcW w:type="dxa" w:w="276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Přínos</w:t>
            </w:r>
          </w:p>
        </w:tc>
        <w:tc>
          <w:tcPr>
            <w:tcW w:type="dxa" w:w="219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Příjemce přínosu</w:t>
            </w:r>
          </w:p>
        </w:tc>
        <w:tc>
          <w:tcPr>
            <w:tcW w:type="dxa" w:w="255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Ukazatel</w:t>
            </w:r>
          </w:p>
        </w:tc>
        <w:tc>
          <w:tcPr>
            <w:tcW w:type="dxa" w:w="191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Časové zařazení</w:t>
            </w:r>
          </w:p>
        </w:tc>
        <w:tc>
          <w:tcPr>
            <w:tcW w:type="dxa" w:w="171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Vlastník</w:t>
            </w:r>
          </w:p>
        </w:tc>
        <w:tc>
          <w:tcPr>
            <w:tcW w:type="dxa" w:w="209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Důkazy</w:t>
            </w:r>
          </w:p>
        </w:tc>
      </w:tr>
      <w:tr>
        <w:trPr>
          <w:cantSplit/>
        </w:trPr>
        <w:tc>
          <w:tcPr>
            <w:tcW w:type="dxa" w:w="13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B-01</w:t>
            </w:r>
          </w:p>
        </w:tc>
        <w:tc>
          <w:tcPr>
            <w:tcW w:type="dxa" w:w="276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Centralizovanější evidence zákazníků a komunikace</w:t>
            </w:r>
          </w:p>
        </w:tc>
        <w:tc>
          <w:tcPr>
            <w:tcW w:type="dxa" w:w="21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potvrzení příjemce</w:t>
            </w:r>
          </w:p>
        </w:tc>
        <w:tc>
          <w:tcPr>
            <w:tcW w:type="dxa" w:w="255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ukazatel dostupnosti a kvality evidence</w:t>
            </w:r>
          </w:p>
        </w:tc>
        <w:tc>
          <w:tcPr>
            <w:tcW w:type="dxa" w:w="191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období realizace</w:t>
            </w:r>
          </w:p>
        </w:tc>
        <w:tc>
          <w:tcPr>
            <w:tcW w:type="dxa" w:w="17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vlastník</w:t>
            </w:r>
          </w:p>
        </w:tc>
        <w:tc>
          <w:tcPr>
            <w:tcW w:type="dxa" w:w="20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Problém evidence v Excelu a e-mailech uvedený v briefu</w:t>
            </w:r>
          </w:p>
        </w:tc>
      </w:tr>
      <w:tr>
        <w:trPr>
          <w:cantSplit/>
        </w:trPr>
        <w:tc>
          <w:tcPr>
            <w:tcW w:type="dxa" w:w="13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B-02</w:t>
            </w:r>
          </w:p>
        </w:tc>
        <w:tc>
          <w:tcPr>
            <w:tcW w:type="dxa" w:w="276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Lepší dostupnost historie komunikace pro obchodníky</w:t>
            </w:r>
          </w:p>
        </w:tc>
        <w:tc>
          <w:tcPr>
            <w:tcW w:type="dxa" w:w="21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25 obchodníků, pokud bude potvrzeno jako cílová skupina</w:t>
            </w:r>
          </w:p>
        </w:tc>
        <w:tc>
          <w:tcPr>
            <w:tcW w:type="dxa" w:w="255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měřitelný ukazatel</w:t>
            </w:r>
          </w:p>
        </w:tc>
        <w:tc>
          <w:tcPr>
            <w:tcW w:type="dxa" w:w="191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17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0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Brief uvádí, že obchodníci nevidí historii komunikace</w:t>
            </w:r>
          </w:p>
        </w:tc>
      </w:tr>
      <w:tr>
        <w:trPr>
          <w:cantSplit/>
        </w:trPr>
        <w:tc>
          <w:tcPr>
            <w:tcW w:type="dxa" w:w="13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B-03</w:t>
            </w:r>
          </w:p>
        </w:tc>
        <w:tc>
          <w:tcPr>
            <w:tcW w:type="dxa" w:w="276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Omezení ztrácení nabídek</w:t>
            </w:r>
          </w:p>
        </w:tc>
        <w:tc>
          <w:tcPr>
            <w:tcW w:type="dxa" w:w="21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určení příjemce</w:t>
            </w:r>
          </w:p>
        </w:tc>
        <w:tc>
          <w:tcPr>
            <w:tcW w:type="dxa" w:w="255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ukazatel ztracených nebo dohledatelných nabídek</w:t>
            </w:r>
          </w:p>
        </w:tc>
        <w:tc>
          <w:tcPr>
            <w:tcW w:type="dxa" w:w="191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17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0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Brief uvádí, že nabídky se ztrácejí</w:t>
            </w:r>
          </w:p>
        </w:tc>
      </w:tr>
      <w:tr>
        <w:trPr>
          <w:cantSplit/>
        </w:trPr>
        <w:tc>
          <w:tcPr>
            <w:tcW w:type="dxa" w:w="13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B-04</w:t>
            </w:r>
          </w:p>
        </w:tc>
        <w:tc>
          <w:tcPr>
            <w:tcW w:type="dxa" w:w="276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Lepší přehled vedení o pipeline</w:t>
            </w:r>
          </w:p>
        </w:tc>
        <w:tc>
          <w:tcPr>
            <w:tcW w:type="dxa" w:w="21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Vedení firmy, pokud bude potvrzeno</w:t>
            </w:r>
          </w:p>
        </w:tc>
        <w:tc>
          <w:tcPr>
            <w:tcW w:type="dxa" w:w="255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ukazatel úplnosti a aktuálnosti pipeline</w:t>
            </w:r>
          </w:p>
        </w:tc>
        <w:tc>
          <w:tcPr>
            <w:tcW w:type="dxa" w:w="191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17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0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Brief uvádí, že vedení nemá přehled o pipeline</w:t>
            </w:r>
          </w:p>
        </w:tc>
      </w:tr>
    </w:tbl>
    <w:p>
      <w:pPr>
        <w:spacing w:after="120"/>
      </w:pPr>
    </w:p>
    <w:p>
      <w:pPr>
        <w:spacing w:after="180" w:line="384"/>
        <w:jc w:val="both"/>
      </w:pPr>
      <w:r>
        <w:rPr>
          <w:b w:val="false"/>
          <w:bCs w:val="false"/>
          <w:i w:val="false"/>
          <w:iCs w:val="false"/>
        </w:rPr>
        <w:t xml:space="preserve">Výstupem zavedení CRM by byl systém a související nastavení, nikoli automaticky realizovaný obchodní přínos. Závislosti na používání systému, kvalitě migrace, nastavení procesů a přijetí změny jsou TBD — vyžadováno je posouzení přínosového mechanismu a způsobu měření.</w:t>
      </w:r>
    </w:p>
    <w:p>
      <w:pPr>
        <w:keepNext/>
        <w:spacing w:after="160" w:before="400"/>
      </w:pPr>
      <w:r>
        <w:rPr>
          <w:b/>
          <w:bCs/>
          <w:i w:val="false"/>
          <w:iCs w:val="false"/>
          <w:color w:val="1F232B"/>
          <w:sz w:val="30"/>
          <w:szCs w:val="30"/>
        </w:rPr>
        <w:t xml:space="preserve">Rizika a zmírňující opatření</w:t>
      </w:r>
    </w:p>
    <w:p>
      <w:pPr>
        <w:spacing w:after="180" w:line="384"/>
        <w:jc w:val="both"/>
      </w:pPr>
      <w:r>
        <w:rPr>
          <w:b w:val="false"/>
          <w:bCs w:val="false"/>
          <w:i w:val="false"/>
          <w:iCs w:val="false"/>
        </w:rPr>
        <w:t xml:space="preserve">Níže jsou uvedeny pouze rizikové oblasti vyplývající z neúplnosti podkladů nebo z popsaného současného stavu. Pravděpodobnost a dopad nejsou hodnoceny, protože nebyla dodána hodnoticí škála ani podklady pro jejich přiřazení.</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14"/>
        <w:gridCol w:w="2025"/>
        <w:gridCol w:w="2192"/>
        <w:gridCol w:w="2153"/>
        <w:gridCol w:w="2145"/>
        <w:gridCol w:w="1645"/>
        <w:gridCol w:w="2011"/>
        <w:gridCol w:w="1285"/>
      </w:tblGrid>
      <w:tr>
        <w:trPr>
          <w:cantSplit/>
          <w:tblHeader/>
        </w:trPr>
        <w:tc>
          <w:tcPr>
            <w:tcW w:type="dxa" w:w="111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ID rizika</w:t>
            </w:r>
          </w:p>
        </w:tc>
        <w:tc>
          <w:tcPr>
            <w:tcW w:type="dxa" w:w="202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Příčina</w:t>
            </w:r>
          </w:p>
        </w:tc>
        <w:tc>
          <w:tcPr>
            <w:tcW w:type="dxa" w:w="219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Riziková událost</w:t>
            </w:r>
          </w:p>
        </w:tc>
        <w:tc>
          <w:tcPr>
            <w:tcW w:type="dxa" w:w="215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Důsledek</w:t>
            </w:r>
          </w:p>
        </w:tc>
        <w:tc>
          <w:tcPr>
            <w:tcW w:type="dxa" w:w="214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Pravděpodobnost</w:t>
            </w:r>
          </w:p>
        </w:tc>
        <w:tc>
          <w:tcPr>
            <w:tcW w:type="dxa" w:w="164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Dopad</w:t>
            </w:r>
          </w:p>
        </w:tc>
        <w:tc>
          <w:tcPr>
            <w:tcW w:type="dxa" w:w="201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Reakce</w:t>
            </w:r>
          </w:p>
        </w:tc>
        <w:tc>
          <w:tcPr>
            <w:tcW w:type="dxa" w:w="128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Vlastník</w:t>
            </w:r>
          </w:p>
        </w:tc>
      </w:tr>
      <w:tr>
        <w:trPr>
          <w:cantSplit/>
        </w:trPr>
        <w:tc>
          <w:tcPr>
            <w:tcW w:type="dxa" w:w="111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R-01</w:t>
            </w:r>
          </w:p>
        </w:tc>
        <w:tc>
          <w:tcPr>
            <w:tcW w:type="dxa" w:w="20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Chybí srovnání variant a detailní požadavky</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Vybraná varianta nemusí odpovídat obchodním potřebám</w:t>
            </w:r>
          </w:p>
        </w:tc>
        <w:tc>
          <w:tcPr>
            <w:tcW w:type="dxa" w:w="21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Riziko nedosažení přínosů nebo překročení rozpočtu</w:t>
            </w:r>
          </w:p>
        </w:tc>
        <w:tc>
          <w:tcPr>
            <w:tcW w:type="dxa" w:w="21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hodnocení</w:t>
            </w:r>
          </w:p>
        </w:tc>
        <w:tc>
          <w:tcPr>
            <w:tcW w:type="dxa" w:w="16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hodnocení</w:t>
            </w:r>
          </w:p>
        </w:tc>
        <w:tc>
          <w:tcPr>
            <w:tcW w:type="dxa" w:w="20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Doplnit variantní analýzu a požadavky před rozhodnutím</w:t>
            </w:r>
          </w:p>
        </w:tc>
        <w:tc>
          <w:tcPr>
            <w:tcW w:type="dxa" w:w="128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r>
        <w:trPr>
          <w:cantSplit/>
        </w:trPr>
        <w:tc>
          <w:tcPr>
            <w:tcW w:type="dxa" w:w="111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R-02</w:t>
            </w:r>
          </w:p>
        </w:tc>
        <w:tc>
          <w:tcPr>
            <w:tcW w:type="dxa" w:w="20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Evidence je rozložena v Excelu a e-mailech</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Migrace nebo sjednocení dat nemusí být úplné</w:t>
            </w:r>
          </w:p>
        </w:tc>
        <w:tc>
          <w:tcPr>
            <w:tcW w:type="dxa" w:w="21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Ztráta, nekonzistence nebo nízká využitelnost zákaznických údajů</w:t>
            </w:r>
          </w:p>
        </w:tc>
        <w:tc>
          <w:tcPr>
            <w:tcW w:type="dxa" w:w="21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16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0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Provést analýzu dat a připravit migrační plán</w:t>
            </w:r>
          </w:p>
        </w:tc>
        <w:tc>
          <w:tcPr>
            <w:tcW w:type="dxa" w:w="128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r>
        <w:trPr>
          <w:cantSplit/>
        </w:trPr>
        <w:tc>
          <w:tcPr>
            <w:tcW w:type="dxa" w:w="111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R-03</w:t>
            </w:r>
          </w:p>
        </w:tc>
        <w:tc>
          <w:tcPr>
            <w:tcW w:type="dxa" w:w="20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Rozpočet je uveden pouze jako celkový limit</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Náklady na licence, implementaci, migraci nebo provoz nemusí být zahrnuty</w:t>
            </w:r>
          </w:p>
        </w:tc>
        <w:tc>
          <w:tcPr>
            <w:tcW w:type="dxa" w:w="21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Překročení limitu 60 000 €</w:t>
            </w:r>
          </w:p>
        </w:tc>
        <w:tc>
          <w:tcPr>
            <w:tcW w:type="dxa" w:w="21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16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0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Zpracovat úplný nákladový model a ověřit cenové nabídky</w:t>
            </w:r>
          </w:p>
        </w:tc>
        <w:tc>
          <w:tcPr>
            <w:tcW w:type="dxa" w:w="128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r>
        <w:trPr>
          <w:cantSplit/>
        </w:trPr>
        <w:tc>
          <w:tcPr>
            <w:tcW w:type="dxa" w:w="111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R-04</w:t>
            </w:r>
          </w:p>
        </w:tc>
        <w:tc>
          <w:tcPr>
            <w:tcW w:type="dxa" w:w="20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Požadavek na spuštění do 6 měsíců není rozpracován do etap</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Řešení nemusí být připraveno v požadovaném termínu</w:t>
            </w:r>
          </w:p>
        </w:tc>
        <w:tc>
          <w:tcPr>
            <w:tcW w:type="dxa" w:w="21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Odklad spuštění nebo omezení rozsahu</w:t>
            </w:r>
          </w:p>
        </w:tc>
        <w:tc>
          <w:tcPr>
            <w:tcW w:type="dxa" w:w="21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16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0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Zpracovat harmonogram, závislosti a rozhodovací body</w:t>
            </w:r>
          </w:p>
        </w:tc>
        <w:tc>
          <w:tcPr>
            <w:tcW w:type="dxa" w:w="128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r>
        <w:trPr>
          <w:cantSplit/>
        </w:trPr>
        <w:tc>
          <w:tcPr>
            <w:tcW w:type="dxa" w:w="111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R-05</w:t>
            </w:r>
          </w:p>
        </w:tc>
        <w:tc>
          <w:tcPr>
            <w:tcW w:type="dxa" w:w="20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Nejsou doloženy požadavky a připravenost uživatelů</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25 obchodníků nemusí systém přijmout nebo používat konzistentně</w:t>
            </w:r>
          </w:p>
        </w:tc>
        <w:tc>
          <w:tcPr>
            <w:tcW w:type="dxa" w:w="21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Omezené využití systému a nenaplnění očekávaných přínosů</w:t>
            </w:r>
          </w:p>
        </w:tc>
        <w:tc>
          <w:tcPr>
            <w:tcW w:type="dxa" w:w="21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164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0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Doplnit plán zapojení, školení a řízení změny</w:t>
            </w:r>
          </w:p>
        </w:tc>
        <w:tc>
          <w:tcPr>
            <w:tcW w:type="dxa" w:w="128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bl>
    <w:p>
      <w:pPr>
        <w:spacing w:after="120"/>
      </w:pPr>
    </w:p>
    <w:p>
      <w:pPr>
        <w:spacing w:after="180" w:line="384"/>
        <w:jc w:val="both"/>
      </w:pPr>
      <w:r>
        <w:rPr>
          <w:b w:val="false"/>
          <w:bCs w:val="false"/>
          <w:i w:val="false"/>
          <w:iCs w:val="false"/>
        </w:rPr>
        <w:t xml:space="preserve">Reziduální nejistota, případná akceptace rizik a rozhodovací expozice jsou TBD — vyžadována je validace rizik a určení vlastníků.</w:t>
      </w:r>
    </w:p>
    <w:p>
      <w:pPr>
        <w:keepNext/>
        <w:spacing w:after="160" w:before="400"/>
      </w:pPr>
      <w:r>
        <w:rPr>
          <w:b/>
          <w:bCs/>
          <w:i w:val="false"/>
          <w:iCs w:val="false"/>
          <w:color w:val="1F232B"/>
          <w:sz w:val="30"/>
          <w:szCs w:val="30"/>
        </w:rPr>
        <w:t xml:space="preserve">Harmonogram a další kroky</w:t>
      </w:r>
    </w:p>
    <w:p>
      <w:pPr>
        <w:spacing w:after="180" w:line="384"/>
        <w:jc w:val="both"/>
      </w:pPr>
      <w:r>
        <w:rPr>
          <w:b w:val="false"/>
          <w:bCs w:val="false"/>
          <w:i w:val="false"/>
          <w:iCs w:val="false"/>
        </w:rPr>
        <w:t xml:space="preserve">Požadavek na spuštění do 6 měsíců je uveden jako rámcový termín. Výchozí datum, délky etap, schvalovací body a závislosti nejsou dodány. Následující tabulka proto zachycuje pouze potřebné kroky k doplnění obchodního případu, nikoli závazný plán realizace.</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9"/>
        <w:gridCol w:w="2557"/>
        <w:gridCol w:w="3076"/>
        <w:gridCol w:w="2711"/>
        <w:gridCol w:w="1528"/>
        <w:gridCol w:w="2179"/>
      </w:tblGrid>
      <w:tr>
        <w:trPr>
          <w:cantSplit/>
          <w:tblHeader/>
        </w:trPr>
        <w:tc>
          <w:tcPr>
            <w:tcW w:type="dxa" w:w="251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Milník</w:t>
            </w:r>
          </w:p>
        </w:tc>
        <w:tc>
          <w:tcPr>
            <w:tcW w:type="dxa" w:w="255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Cílové datum</w:t>
            </w:r>
          </w:p>
        </w:tc>
        <w:tc>
          <w:tcPr>
            <w:tcW w:type="dxa" w:w="307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Závislost</w:t>
            </w:r>
          </w:p>
        </w:tc>
        <w:tc>
          <w:tcPr>
            <w:tcW w:type="dxa" w:w="271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Rozhodovací bod</w:t>
            </w:r>
          </w:p>
        </w:tc>
        <w:tc>
          <w:tcPr>
            <w:tcW w:type="dxa" w:w="152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Vlastník</w:t>
            </w:r>
          </w:p>
        </w:tc>
        <w:tc>
          <w:tcPr>
            <w:tcW w:type="dxa" w:w="217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Stav</w:t>
            </w:r>
          </w:p>
        </w:tc>
      </w:tr>
      <w:tr>
        <w:trPr>
          <w:cantSplit/>
        </w:trPr>
        <w:tc>
          <w:tcPr>
            <w:tcW w:type="dxa" w:w="25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Doplnění obchodní potřeby, cílů a požadavků</w:t>
            </w:r>
          </w:p>
        </w:tc>
        <w:tc>
          <w:tcPr>
            <w:tcW w:type="dxa" w:w="255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určení data</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Dostupnost relevantních podkladů a zainteresovaných stran</w:t>
            </w:r>
          </w:p>
        </w:tc>
        <w:tc>
          <w:tcPr>
            <w:tcW w:type="dxa" w:w="27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určení schvalovatele</w:t>
            </w:r>
          </w:p>
        </w:tc>
        <w:tc>
          <w:tcPr>
            <w:tcW w:type="dxa" w:w="15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1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Nezahájeno nebo nedoloženo</w:t>
            </w:r>
          </w:p>
        </w:tc>
      </w:tr>
      <w:tr>
        <w:trPr>
          <w:cantSplit/>
        </w:trPr>
        <w:tc>
          <w:tcPr>
            <w:tcW w:type="dxa" w:w="25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Zpracování a porovnání variant CRM</w:t>
            </w:r>
          </w:p>
        </w:tc>
        <w:tc>
          <w:tcPr>
            <w:tcW w:type="dxa" w:w="255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určení data</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Definované požadavky a kritéria hodnocení</w:t>
            </w:r>
          </w:p>
        </w:tc>
        <w:tc>
          <w:tcPr>
            <w:tcW w:type="dxa" w:w="27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Výběr varianty nebo rozhodnutí o dalším prověření</w:t>
            </w:r>
          </w:p>
        </w:tc>
        <w:tc>
          <w:tcPr>
            <w:tcW w:type="dxa" w:w="15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1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Nedoloženo</w:t>
            </w:r>
          </w:p>
        </w:tc>
      </w:tr>
      <w:tr>
        <w:trPr>
          <w:cantSplit/>
        </w:trPr>
        <w:tc>
          <w:tcPr>
            <w:tcW w:type="dxa" w:w="25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Zpracování nákladového a zdrojového plánu</w:t>
            </w:r>
          </w:p>
        </w:tc>
        <w:tc>
          <w:tcPr>
            <w:tcW w:type="dxa" w:w="255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určení data</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Nabídky, odhady a dostupnost zdrojů</w:t>
            </w:r>
          </w:p>
        </w:tc>
        <w:tc>
          <w:tcPr>
            <w:tcW w:type="dxa" w:w="27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Ověření souladu s limitem 60 000 €</w:t>
            </w:r>
          </w:p>
        </w:tc>
        <w:tc>
          <w:tcPr>
            <w:tcW w:type="dxa" w:w="15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1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Nedoloženo</w:t>
            </w:r>
          </w:p>
        </w:tc>
      </w:tr>
      <w:tr>
        <w:trPr>
          <w:cantSplit/>
        </w:trPr>
        <w:tc>
          <w:tcPr>
            <w:tcW w:type="dxa" w:w="25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Schválení obchodního případu</w:t>
            </w:r>
          </w:p>
        </w:tc>
        <w:tc>
          <w:tcPr>
            <w:tcW w:type="dxa" w:w="255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určení data</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Kompletní podklady pro rozhodnutí</w:t>
            </w:r>
          </w:p>
        </w:tc>
        <w:tc>
          <w:tcPr>
            <w:tcW w:type="dxa" w:w="27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Schválení, zamítnutí, odložení nebo další prověření</w:t>
            </w:r>
          </w:p>
        </w:tc>
        <w:tc>
          <w:tcPr>
            <w:tcW w:type="dxa" w:w="15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1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Nedoloženo</w:t>
            </w:r>
          </w:p>
        </w:tc>
      </w:tr>
      <w:tr>
        <w:trPr>
          <w:cantSplit/>
        </w:trPr>
        <w:tc>
          <w:tcPr>
            <w:tcW w:type="dxa" w:w="25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Implementace a konfigurace CRM</w:t>
            </w:r>
          </w:p>
        </w:tc>
        <w:tc>
          <w:tcPr>
            <w:tcW w:type="dxa" w:w="255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vyžadována délka etapy</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Schválení investice a dostupnost zdrojů</w:t>
            </w:r>
          </w:p>
        </w:tc>
        <w:tc>
          <w:tcPr>
            <w:tcW w:type="dxa" w:w="27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 řídicí model</w:t>
            </w:r>
          </w:p>
        </w:tc>
        <w:tc>
          <w:tcPr>
            <w:tcW w:type="dxa" w:w="15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1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Nedoloženo</w:t>
            </w:r>
          </w:p>
        </w:tc>
      </w:tr>
      <w:tr>
        <w:trPr>
          <w:cantSplit/>
        </w:trPr>
        <w:tc>
          <w:tcPr>
            <w:tcW w:type="dxa" w:w="25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Migrace dat, testování a školení</w:t>
            </w:r>
          </w:p>
        </w:tc>
        <w:tc>
          <w:tcPr>
            <w:tcW w:type="dxa" w:w="255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vyžadována délka etapy</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Připravenost řešení a dat</w:t>
            </w:r>
          </w:p>
        </w:tc>
        <w:tc>
          <w:tcPr>
            <w:tcW w:type="dxa" w:w="27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Rozhodnutí o připravenosti ke spuštění</w:t>
            </w:r>
          </w:p>
        </w:tc>
        <w:tc>
          <w:tcPr>
            <w:tcW w:type="dxa" w:w="15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1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Nedoloženo</w:t>
            </w:r>
          </w:p>
        </w:tc>
      </w:tr>
      <w:tr>
        <w:trPr>
          <w:cantSplit/>
        </w:trPr>
        <w:tc>
          <w:tcPr>
            <w:tcW w:type="dxa" w:w="25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Spuštění CRM pro 25 obchodníků</w:t>
            </w:r>
          </w:p>
        </w:tc>
        <w:tc>
          <w:tcPr>
            <w:tcW w:type="dxa" w:w="255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 6 měsíců od TBD — vyžadováno výchozí datum a potvrzení termínu</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Dokončená implementace, migrace, testování a školení</w:t>
            </w:r>
          </w:p>
        </w:tc>
        <w:tc>
          <w:tcPr>
            <w:tcW w:type="dxa" w:w="271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vyžadováno formální rozhodnutí o spuštění</w:t>
            </w:r>
          </w:p>
        </w:tc>
        <w:tc>
          <w:tcPr>
            <w:tcW w:type="dxa" w:w="15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1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Požadavek uveden, plán nedoložen</w:t>
            </w:r>
          </w:p>
        </w:tc>
      </w:tr>
    </w:tbl>
    <w:p>
      <w:pPr>
        <w:spacing w:after="120"/>
      </w:pPr>
    </w:p>
    <w:p>
      <w:pPr>
        <w:spacing w:after="180" w:line="384"/>
        <w:jc w:val="both"/>
      </w:pPr>
      <w:r>
        <w:rPr>
          <w:b w:val="false"/>
          <w:bCs w:val="false"/>
          <w:i w:val="false"/>
          <w:iCs w:val="false"/>
        </w:rPr>
        <w:t xml:space="preserve">Uvedený termín do 6 měsíců představuje požadovaný rámec, nikoli potvrzený závazek dodání. Dalšími prioritními kroky jsou doplnění variant, nákladů, rozsahu, měřitelných přínosů, rizik, zdrojů a rozhodovacích pravomocí.</w:t>
      </w:r>
    </w:p>
    <w:p>
      <w:pPr>
        <w:keepNext/>
        <w:spacing w:after="160" w:before="400"/>
      </w:pPr>
      <w:r>
        <w:rPr>
          <w:b/>
          <w:bCs/>
          <w:i w:val="false"/>
          <w:iCs w:val="false"/>
          <w:color w:val="1F232B"/>
          <w:sz w:val="30"/>
          <w:szCs w:val="30"/>
        </w:rPr>
        <w:t xml:space="preserve">Doporučení</w:t>
      </w:r>
    </w:p>
    <w:p>
      <w:pPr>
        <w:spacing w:after="180" w:line="384"/>
        <w:jc w:val="both"/>
      </w:pPr>
      <w:r>
        <w:rPr>
          <w:b w:val="false"/>
          <w:bCs w:val="false"/>
          <w:i w:val="false"/>
          <w:iCs w:val="false"/>
        </w:rPr>
        <w:t xml:space="preserve">Na základě dostupných podkladů nelze v této fázi podloženě doporučit schválení, zamítnutí ani odložení konkrétní varianty CRM. Doporučuje se </w:t>
      </w:r>
      <w:r>
        <w:rPr>
          <w:b/>
          <w:bCs/>
          <w:i w:val="false"/>
          <w:iCs w:val="false"/>
        </w:rPr>
        <w:t xml:space="preserve">dále prověřit a doplnit obchodní případ</w:t>
      </w:r>
      <w:r>
        <w:rPr>
          <w:b w:val="false"/>
          <w:bCs w:val="false"/>
          <w:i w:val="false"/>
          <w:iCs w:val="false"/>
        </w:rPr>
        <w:t xml:space="preserve"> před rozhodnutím o investici.</w:t>
      </w:r>
    </w:p>
    <w:p>
      <w:pPr>
        <w:spacing w:after="180" w:line="384"/>
        <w:jc w:val="both"/>
      </w:pPr>
      <w:r>
        <w:rPr>
          <w:b w:val="false"/>
          <w:bCs w:val="false"/>
          <w:i w:val="false"/>
          <w:iCs w:val="false"/>
        </w:rPr>
        <w:t xml:space="preserve">Doplnění by mělo minimálně zahrnout:</w:t>
      </w:r>
    </w:p>
    <w:p>
      <w:pPr>
        <w:pStyle w:val="ListParagraph"/>
        <w:numPr>
          <w:ilvl w:val="0"/>
          <w:numId w:val="2"/>
        </w:numPr>
        <w:spacing w:after="80" w:line="384"/>
      </w:pPr>
      <w:r>
        <w:rPr>
          <w:b w:val="false"/>
          <w:bCs w:val="false"/>
          <w:i w:val="false"/>
          <w:iCs w:val="false"/>
        </w:rPr>
        <w:t xml:space="preserve">srovnání konkrétních variant řešení včetně případných licenčních a provozních modelů;</w:t>
      </w:r>
    </w:p>
    <w:p>
      <w:pPr>
        <w:pStyle w:val="ListParagraph"/>
        <w:numPr>
          <w:ilvl w:val="0"/>
          <w:numId w:val="2"/>
        </w:numPr>
        <w:spacing w:after="80" w:line="384"/>
      </w:pPr>
      <w:r>
        <w:rPr>
          <w:b w:val="false"/>
          <w:bCs w:val="false"/>
          <w:i w:val="false"/>
          <w:iCs w:val="false"/>
        </w:rPr>
        <w:t xml:space="preserve">podrobný rozpad nákladů a zdrojů s ověřením limitu 60 000 €;</w:t>
      </w:r>
    </w:p>
    <w:p>
      <w:pPr>
        <w:pStyle w:val="ListParagraph"/>
        <w:numPr>
          <w:ilvl w:val="0"/>
          <w:numId w:val="2"/>
        </w:numPr>
        <w:spacing w:after="80" w:line="384"/>
      </w:pPr>
      <w:r>
        <w:rPr>
          <w:b w:val="false"/>
          <w:bCs w:val="false"/>
          <w:i w:val="false"/>
          <w:iCs w:val="false"/>
        </w:rPr>
        <w:t xml:space="preserve">schválený rozsah, požadavky a seznam výstupů;</w:t>
      </w:r>
    </w:p>
    <w:p>
      <w:pPr>
        <w:pStyle w:val="ListParagraph"/>
        <w:numPr>
          <w:ilvl w:val="0"/>
          <w:numId w:val="2"/>
        </w:numPr>
        <w:spacing w:after="80" w:line="384"/>
      </w:pPr>
      <w:r>
        <w:rPr>
          <w:b w:val="false"/>
          <w:bCs w:val="false"/>
          <w:i w:val="false"/>
          <w:iCs w:val="false"/>
        </w:rPr>
        <w:t xml:space="preserve">měřitelné cíle, baseline, cílové hodnoty a vlastníky přínosů;</w:t>
      </w:r>
    </w:p>
    <w:p>
      <w:pPr>
        <w:pStyle w:val="ListParagraph"/>
        <w:numPr>
          <w:ilvl w:val="0"/>
          <w:numId w:val="2"/>
        </w:numPr>
        <w:spacing w:after="80" w:line="384"/>
      </w:pPr>
      <w:r>
        <w:rPr>
          <w:b w:val="false"/>
          <w:bCs w:val="false"/>
          <w:i w:val="false"/>
          <w:iCs w:val="false"/>
        </w:rPr>
        <w:t xml:space="preserve">rizika, mitigace a odpovědnosti;</w:t>
      </w:r>
    </w:p>
    <w:p>
      <w:pPr>
        <w:pStyle w:val="ListParagraph"/>
        <w:numPr>
          <w:ilvl w:val="0"/>
          <w:numId w:val="2"/>
        </w:numPr>
        <w:spacing w:after="80" w:line="384"/>
      </w:pPr>
      <w:r>
        <w:rPr>
          <w:b w:val="false"/>
          <w:bCs w:val="false"/>
          <w:i w:val="false"/>
          <w:iCs w:val="false"/>
        </w:rPr>
        <w:t xml:space="preserve">proveditelný harmonogram potvrzující nebo zpochybňující spuštění do 6 měsíců;</w:t>
      </w:r>
    </w:p>
    <w:p>
      <w:pPr>
        <w:pStyle w:val="ListParagraph"/>
        <w:numPr>
          <w:ilvl w:val="0"/>
          <w:numId w:val="2"/>
        </w:numPr>
        <w:spacing w:after="240" w:line="384"/>
      </w:pPr>
      <w:r>
        <w:rPr>
          <w:b w:val="false"/>
          <w:bCs w:val="false"/>
          <w:i w:val="false"/>
          <w:iCs w:val="false"/>
        </w:rPr>
        <w:t xml:space="preserve">určení sponzora a autority oprávněné investici schválit.</w:t>
      </w:r>
    </w:p>
    <w:p>
      <w:pPr>
        <w:spacing w:after="180" w:line="384"/>
        <w:jc w:val="both"/>
      </w:pPr>
      <w:r>
        <w:rPr>
          <w:b w:val="false"/>
          <w:bCs w:val="false"/>
          <w:i w:val="false"/>
          <w:iCs w:val="false"/>
        </w:rPr>
        <w:t xml:space="preserve">Rozhodovací autorita je TBD — vyžadováno je určení schvalující osoby nebo orgánu. Konečné doporučení může být formulováno až po doplnění uvedených vstupů a po ověření affordability, přínosů, rizik a proveditelnosti jednotlivých možností.</w:t>
      </w:r>
    </w:p>
    <w:sectPr>
      <w:footerReference w:type="default" r:id="rId7"/>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B7079"/>
        <w:sz w:val="18"/>
        <w:szCs w:val="18"/>
      </w:rPr>
      <w:t xml:space="preserve">Vygenerováno pomocí AI v Baaito – před použitím zkontrolujte.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540" w:hanging="300"/>
      </w:pPr>
    </w:lvl>
  </w:abstractNum>
  <w:abstractNum w:abstractNumId="3" w15:restartNumberingAfterBreak="0">
    <w:multiLevelType w:val="hybridMultilevel"/>
    <w:lvl w:ilvl="0" w15:tentative="1">
      <w:start w:val="1"/>
      <w:numFmt w:val="decimal"/>
      <w:lvlText w:val="%1."/>
      <w:lvlJc w:val="star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B"/>
        <w:sz w:val="21"/>
        <w:szCs w:val="21"/>
      </w:rPr>
    </w:rPrDefault>
    <w:pPrDefault>
      <w:pPr>
        <w:spacing w:line="38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 Zavedení CRM pro obchodní tým</dc:title>
  <dc:subject>AI-generated document</dc:subject>
  <dc:creator>Baaito (AI-generated)</dc:creator>
  <cp:keywords>AI-generated, Baaito</cp:keywords>
  <dc:description>Generator: Baaito (AI-generated), model: gpt-5.6-luna, date: 2026-10-28</dc:description>
  <cp:lastModifiedBy>Baaito</cp:lastModifiedBy>
  <cp:revision>1</cp:revision>
  <dcterms:created xsi:type="dcterms:W3CDTF">2026-10-28T19:01:15.428Z</dcterms:created>
  <dcterms:modified xsi:type="dcterms:W3CDTF">2026-10-28T19:01:15.428Z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Baaito (AI-generated)</vt:lpwstr>
  </property>
  <property fmtid="{D5CDD505-2E9C-101B-9397-08002B2CF9AE}" pid="3" name="AI model">
    <vt:lpwstr>gpt-5.6-luna</vt:lpwstr>
  </property>
  <property fmtid="{D5CDD505-2E9C-101B-9397-08002B2CF9AE}" pid="4" name="Generated">
    <vt:lpwstr>2026-10-28</vt:lpwstr>
  </property>
</Properties>
</file>