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8DBE0" w:sz="4" w:space="8"/>
        </w:pBdr>
        <w:spacing w:after="240"/>
      </w:pPr>
      <w:r>
        <w:rPr>
          <w:rFonts w:ascii="Calibri" w:cs="Calibri" w:eastAsia="Calibri" w:hAnsi="Calibri"/>
          <w:b/>
          <w:bCs/>
          <w:color w:val="1F232B"/>
          <w:sz w:val="36"/>
          <w:szCs w:val="36"/>
        </w:rPr>
        <w:t xml:space="preserve">Business Case — Zavedenie CRM pre obchodný tím</w:t>
      </w:r>
    </w:p>
    <w:p>
      <w:pPr>
        <w:keepNext/>
        <w:spacing w:after="200" w:before="0"/>
      </w:pPr>
      <w:r>
        <w:rPr>
          <w:b/>
          <w:bCs/>
          <w:i w:val="false"/>
          <w:iCs w:val="false"/>
          <w:color w:val="1F232B"/>
          <w:sz w:val="39"/>
          <w:szCs w:val="39"/>
        </w:rPr>
        <w:t xml:space="preserve">Business Case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Manažérske zhrnutie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Stredne veľká obchodná firma so 120 zamestnancami eviduje zákazníkov v Exceli a e-mailoch. Obchodníci nemajú jednotný prístup k histórii komunikácie, ponuky sa strácajú a vedenie nemá prehľad o obchodnej pipeline. Navrhovaná iniciatíva spočíva v zavedení CRM systému pre 25 obchodníkov.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Stanovený rozpočtový limit je do 60 000 € a požadovaný termín spustenia je do 6 mesiacov. Nie je však doložené, či tieto limity zahŕňajú licencie, implementáciu, migráciu údajov, integrácie, školenia, podporu a prevádzkové náklady.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Na základe dostupných podkladov možno potvrdiť existenciu evidovaného prevádzkového problému a zámer preskúmať zavedenie CRM. Porovnanie možností, vyčíslenie nákladov, potvrdenie prínosov, posúdenie rizík a overenie realizovateľnosti v stanovenom rozpočte a termíne sú TBD — vyžaduje sa vstup pre možnosti, náklady, zdroje, prínosy, riziká a harmonogram.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Odporúčanie na schválenie, zamietnutie alebo odloženie investície nie je na základe dostupných podkladov podložiteľné. Rozhodnutie vyžaduje ďalšie informácie podľa časti </w:t>
      </w:r>
      <w:r>
        <w:rPr>
          <w:b/>
          <w:bCs/>
          <w:i w:val="false"/>
          <w:iCs w:val="false"/>
        </w:rPr>
        <w:t xml:space="preserve">Odporúčanie</w:t>
      </w:r>
      <w:r>
        <w:rPr>
          <w:b w:val="false"/>
          <w:bCs w:val="false"/>
          <w:i w:val="false"/>
          <w:iCs w:val="false"/>
        </w:rPr>
        <w:t xml:space="preserve">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Východiská a obchodná potreba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Súčasný stav:</w:t>
      </w:r>
      <w:r>
        <w:rPr>
          <w:b w:val="false"/>
          <w:bCs w:val="false"/>
          <w:i w:val="false"/>
          <w:iCs w:val="false"/>
        </w:rPr>
        <w:t xml:space="preserve"> Zákazníci sú evidovaní v Exceli a e-mailoch.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Identifikovaná prevádzková potreba:</w:t>
      </w:r>
      <w:r>
        <w:rPr>
          <w:b w:val="false"/>
          <w:bCs w:val="false"/>
          <w:i w:val="false"/>
          <w:iCs w:val="false"/>
        </w:rPr>
        <w:t xml:space="preserve"> Obchodníci nevidia históriu komunikácie so zákazníkmi.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Identifikovaný problém:</w:t>
      </w:r>
      <w:r>
        <w:rPr>
          <w:b w:val="false"/>
          <w:bCs w:val="false"/>
          <w:i w:val="false"/>
          <w:iCs w:val="false"/>
        </w:rPr>
        <w:t xml:space="preserve"> Ponuky sa strácajú.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Identifikovaný manažérsky problém:</w:t>
      </w:r>
      <w:r>
        <w:rPr>
          <w:b w:val="false"/>
          <w:bCs w:val="false"/>
          <w:i w:val="false"/>
          <w:iCs w:val="false"/>
        </w:rPr>
        <w:t xml:space="preserve"> Vedenie nemá prehľad o obchodnej pipeline.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Dotknutá skupina:</w:t>
      </w:r>
      <w:r>
        <w:rPr>
          <w:b w:val="false"/>
          <w:bCs w:val="false"/>
          <w:i w:val="false"/>
          <w:iCs w:val="false"/>
        </w:rPr>
        <w:t xml:space="preserve"> 25 obchodníkov; ďalšie dotknuté skupiny sú TBD — vyžaduje sa analýza zainteresovaných strán.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Investičný zámer:</w:t>
      </w:r>
      <w:r>
        <w:rPr>
          <w:b w:val="false"/>
          <w:bCs w:val="false"/>
          <w:i w:val="false"/>
          <w:iCs w:val="false"/>
        </w:rPr>
        <w:t xml:space="preserve"> Zaviesť CRM systém pre 25 obchodníkov.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Dôsledok zachovania súčasného stavu:</w:t>
      </w:r>
      <w:r>
        <w:rPr>
          <w:b w:val="false"/>
          <w:bCs w:val="false"/>
          <w:i w:val="false"/>
          <w:iCs w:val="false"/>
        </w:rPr>
        <w:t xml:space="preserve"> Nie je podrobne doložený; možno potvrdiť iba pretrvávanie vyššie uvedených evidovaných problémov. Kvantifikácia dopadu na tržby, produktivitu, kvalitu údajov alebo zákaznícku skúsenosť je TBD — vyžaduje sa aktuálna výkonnostná analýza.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Strategický a prevádzkový kontext:</w:t>
      </w:r>
      <w:r>
        <w:rPr>
          <w:b w:val="false"/>
          <w:bCs w:val="false"/>
          <w:i w:val="false"/>
          <w:iCs w:val="false"/>
        </w:rPr>
        <w:t xml:space="preserve"> TBD — vyžaduje sa strategický kontext firmy, schválené priority a príslušný mandát.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Časový stav údajov:</w:t>
      </w:r>
      <w:r>
        <w:rPr>
          <w:b w:val="false"/>
          <w:bCs w:val="false"/>
          <w:i w:val="false"/>
          <w:iCs w:val="false"/>
        </w:rPr>
        <w:t xml:space="preserve"> Dátum alebo obdobie, ku ktorému sa opis súčasného stavu vzťahuje, je TBD — vyžaduje sa dátum aktuálnosti vstupných údajov.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Navrhované CRM riešenie predstavuje možnú odpoveď na identifikovanú potrebu, nie však automaticky potvrdený najvhodnejší spôsob jej riešenia. Alternatívy a ich porovnanie nie sú dodané.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Ciele a strategický súlad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Cieľ 1:</w:t>
      </w:r>
      <w:r>
        <w:rPr>
          <w:b w:val="false"/>
          <w:bCs w:val="false"/>
          <w:i w:val="false"/>
          <w:iCs w:val="false"/>
        </w:rPr>
        <w:t xml:space="preserve"> Zabezpečiť jednotnejší prístup obchodníkov k zákazníckym údajom a histórii komunikácie.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Väzba na obchodnú potrebu: obchodníci v súčasnosti nevidia históriu komunikácie.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 w:val="false"/>
          <w:bCs w:val="false"/>
          <w:i w:val="false"/>
          <w:iCs w:val="false"/>
        </w:rPr>
        <w:t xml:space="preserve">Merateľný cieľ, východisková hodnota a cieľová hodnota: TBD — vyžaduje sa definícia ukazovateľov a overiteľných cieľových hodnôt.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Cieľ 2:</w:t>
      </w:r>
      <w:r>
        <w:rPr>
          <w:b w:val="false"/>
          <w:bCs w:val="false"/>
          <w:i w:val="false"/>
          <w:iCs w:val="false"/>
        </w:rPr>
        <w:t xml:space="preserve"> Znížiť riziko straty alebo nedostupnosti obchodných ponúk.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Väzba na obchodnú potrebu: ponuky sa podľa zadania strácajú.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 w:val="false"/>
          <w:bCs w:val="false"/>
          <w:i w:val="false"/>
          <w:iCs w:val="false"/>
        </w:rPr>
        <w:t xml:space="preserve">Merateľný cieľ, východisková hodnota a cieľová hodnota: TBD — vyžaduje sa analýza výskytu stratených ponúk a požadovaného stavu.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Cieľ 3:</w:t>
      </w:r>
      <w:r>
        <w:rPr>
          <w:b w:val="false"/>
          <w:bCs w:val="false"/>
          <w:i w:val="false"/>
          <w:iCs w:val="false"/>
        </w:rPr>
        <w:t xml:space="preserve"> Zlepšiť prehľad vedenia o obchodnej pipeline.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Väzba na obchodnú potrebu: vedenie v súčasnosti nemá prehľad o pipeline.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 w:val="false"/>
          <w:bCs w:val="false"/>
          <w:i w:val="false"/>
          <w:iCs w:val="false"/>
        </w:rPr>
        <w:t xml:space="preserve">Merateľný cieľ, východisková hodnota a cieľová hodnota: TBD — vyžaduje sa definícia manažérskych prehľadov, ukazovateľov a frekvencie reportovania.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Cieľ 4:</w:t>
      </w:r>
      <w:r>
        <w:rPr>
          <w:b w:val="false"/>
          <w:bCs w:val="false"/>
          <w:i w:val="false"/>
          <w:iCs w:val="false"/>
        </w:rPr>
        <w:t xml:space="preserve"> Posúdiť realizovateľnosť zavedenia CRM pre 25 obchodníkov v rozpočte do 60 000 € a v termíne do 6 mesiacov.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Väzba na investičný zámer: tieto limity sú uvedené v zadaní.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 w:val="false"/>
          <w:bCs w:val="false"/>
          <w:i w:val="false"/>
          <w:iCs w:val="false"/>
        </w:rPr>
        <w:t xml:space="preserve">Potvrdenie realizovateľnosti: TBD — vyžaduje sa porovnanie možností, odhad nákladov, kapacitný plán a harmonogram.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Strategický súlad nie je doložený. Potvrdenie väzby na schválené strategické priority, mandát alebo podnikateľský plán je TBD — vyžaduje sa príslušný strategický alebo riadiaci podklad.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Zvažované možnosti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Možnosti neboli v dodaných podkladoch špecifikované. Tabuľka preto uvádza iba investičný zámer a dostupné obmedzenia; nepredstavuje úplné porovnanie alternatív.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58"/>
        <w:gridCol w:w="2277"/>
        <w:gridCol w:w="2169"/>
        <w:gridCol w:w="2212"/>
        <w:gridCol w:w="1730"/>
        <w:gridCol w:w="2605"/>
        <w:gridCol w:w="1919"/>
      </w:tblGrid>
      <w:tr>
        <w:trPr>
          <w:cantSplit/>
          <w:tblHeader/>
        </w:trPr>
        <w:tc>
          <w:tcPr>
            <w:tcW w:type="dxa" w:w="165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Možnosť</w:t>
            </w:r>
          </w:p>
        </w:tc>
        <w:tc>
          <w:tcPr>
            <w:tcW w:type="dxa" w:w="227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Opis</w:t>
            </w:r>
          </w:p>
        </w:tc>
        <w:tc>
          <w:tcPr>
            <w:tcW w:type="dxa" w:w="216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Náklady</w:t>
            </w:r>
          </w:p>
        </w:tc>
        <w:tc>
          <w:tcPr>
            <w:tcW w:type="dxa" w:w="221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Prínos</w:t>
            </w:r>
          </w:p>
        </w:tc>
        <w:tc>
          <w:tcPr>
            <w:tcW w:type="dxa" w:w="173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Riziko</w:t>
            </w:r>
          </w:p>
        </w:tc>
        <w:tc>
          <w:tcPr>
            <w:tcW w:type="dxa" w:w="260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Realizovateľnosť</w:t>
            </w:r>
          </w:p>
        </w:tc>
        <w:tc>
          <w:tcPr>
            <w:tcW w:type="dxa" w:w="191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Dôkazy</w:t>
            </w:r>
          </w:p>
        </w:tc>
      </w:tr>
      <w:tr>
        <w:trPr>
          <w:cantSplit/>
        </w:trPr>
        <w:tc>
          <w:tcPr>
            <w:tcW w:type="dxa" w:w="165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Zavedenie CRM systému</w:t>
            </w:r>
          </w:p>
        </w:tc>
        <w:tc>
          <w:tcPr>
            <w:tcW w:type="dxa" w:w="227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Zavedenie CRM pre 25 obchodníkov; konkrétny produkt, rozsah, prevádzkový model, integrácie a spôsob migrácie sú TBD — vyžaduje sa návrh riešenia</w:t>
            </w:r>
          </w:p>
        </w:tc>
        <w:tc>
          <w:tcPr>
            <w:tcW w:type="dxa" w:w="216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 60 000 € podľa zadania; členenie na jednorazové a opakované náklady TBD — vyžaduje sa odhad nákladov</w:t>
            </w:r>
          </w:p>
        </w:tc>
        <w:tc>
          <w:tcPr>
            <w:tcW w:type="dxa" w:w="221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Očakávané riešenie evidovaných problémov s históriou komunikácie, ponukami a prehľadom pipeline; rozsah a meranie prínosov TBD — vyžaduje sa definícia prínosov</w:t>
            </w:r>
          </w:p>
        </w:tc>
        <w:tc>
          <w:tcPr>
            <w:tcW w:type="dxa" w:w="173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register rizík</w:t>
            </w:r>
          </w:p>
        </w:tc>
        <w:tc>
          <w:tcPr>
            <w:tcW w:type="dxa" w:w="260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Požadované spustenie do 6 mesiacov; potvrdenie realizovateľnosti TBD — vyžaduje sa harmonogram a kapacitné posúdenie</w:t>
            </w:r>
          </w:p>
        </w:tc>
        <w:tc>
          <w:tcPr>
            <w:tcW w:type="dxa" w:w="191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Zadanie používateľa; podrobný opis možnosti nebol dodaný</w:t>
            </w:r>
          </w:p>
        </w:tc>
      </w:tr>
      <w:tr>
        <w:trPr>
          <w:cantSplit/>
        </w:trPr>
        <w:tc>
          <w:tcPr>
            <w:tcW w:type="dxa" w:w="165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Alternatíva</w:t>
            </w:r>
          </w:p>
        </w:tc>
        <w:tc>
          <w:tcPr>
            <w:tcW w:type="dxa" w:w="227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identifikácia reálnej alternatívy</w:t>
            </w:r>
          </w:p>
        </w:tc>
        <w:tc>
          <w:tcPr>
            <w:tcW w:type="dxa" w:w="216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odhad nákladov</w:t>
            </w:r>
          </w:p>
        </w:tc>
        <w:tc>
          <w:tcPr>
            <w:tcW w:type="dxa" w:w="221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definícia prínosov</w:t>
            </w:r>
          </w:p>
        </w:tc>
        <w:tc>
          <w:tcPr>
            <w:tcW w:type="dxa" w:w="173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posúdenie rizík</w:t>
            </w:r>
          </w:p>
        </w:tc>
        <w:tc>
          <w:tcPr>
            <w:tcW w:type="dxa" w:w="260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posúdenie realizovateľnosti</w:t>
            </w:r>
          </w:p>
        </w:tc>
        <w:tc>
          <w:tcPr>
            <w:tcW w:type="dxa" w:w="191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Vstup pre zvažované možnosti nebol dodaný</w:t>
            </w:r>
          </w:p>
        </w:tc>
      </w:tr>
      <w:tr>
        <w:trPr>
          <w:cantSplit/>
        </w:trPr>
        <w:tc>
          <w:tcPr>
            <w:tcW w:type="dxa" w:w="165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Súčasný stav bez zásahu</w:t>
            </w:r>
          </w:p>
        </w:tc>
        <w:tc>
          <w:tcPr>
            <w:tcW w:type="dxa" w:w="227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potvrdenie, či má byť táto možnosť zahrnutá do porovnania</w:t>
            </w:r>
          </w:p>
        </w:tc>
        <w:tc>
          <w:tcPr>
            <w:tcW w:type="dxa" w:w="216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vyčíslenie pokračujúcich nákladov a dopadov</w:t>
            </w:r>
          </w:p>
        </w:tc>
        <w:tc>
          <w:tcPr>
            <w:tcW w:type="dxa" w:w="221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posúdenie zachovania alebo zmeny súčasných výsledkov</w:t>
            </w:r>
          </w:p>
        </w:tc>
        <w:tc>
          <w:tcPr>
            <w:tcW w:type="dxa" w:w="173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posúdenie rizík zachovania súčasného stavu</w:t>
            </w:r>
          </w:p>
        </w:tc>
        <w:tc>
          <w:tcPr>
            <w:tcW w:type="dxa" w:w="260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potvrdenie prevádzkových podmienok</w:t>
            </w:r>
          </w:p>
        </w:tc>
        <w:tc>
          <w:tcPr>
            <w:tcW w:type="dxa" w:w="191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Podklad pre túto možnosť nebol dodaný</w:t>
            </w:r>
          </w:p>
        </w:tc>
      </w:tr>
    </w:tbl>
    <w:p>
      <w:pPr>
        <w:spacing w:after="120"/>
      </w:pP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Porovnanie nie je rozhodovacie, pretože pre možnosti chýbajú jednotné údaje o nákladoch, prínosoch, rizikách, harmonograme, závislostiach a strategickom súlade.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Rozsah a výstupy</w:t>
      </w:r>
    </w:p>
    <w:p>
      <w:pPr>
        <w:spacing w:after="180" w:line="384"/>
        <w:jc w:val="both"/>
      </w:pPr>
      <w:r>
        <w:rPr>
          <w:b/>
          <w:bCs/>
          <w:i w:val="false"/>
          <w:iCs w:val="false"/>
        </w:rPr>
        <w:t xml:space="preserve">Predbežne zahrnuté na základe zadania: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posúdenie zavedenia CRM systému;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podpora pre 25 obchodníkov;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riešenie evidencie zákazníkov, histórie komunikácie, obchodných ponúk a prehľadu pipeline;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posúdenie rozpočtového limitu do 60 000 €;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 w:val="false"/>
          <w:bCs w:val="false"/>
          <w:i w:val="false"/>
          <w:iCs w:val="false"/>
        </w:rPr>
        <w:t xml:space="preserve">posúdenie požadovaného spustenia do 6 mesiacov.</w:t>
      </w:r>
    </w:p>
    <w:p>
      <w:pPr>
        <w:spacing w:after="180" w:line="384"/>
        <w:jc w:val="both"/>
      </w:pPr>
      <w:r>
        <w:rPr>
          <w:b/>
          <w:bCs/>
          <w:i w:val="false"/>
          <w:iCs w:val="false"/>
        </w:rPr>
        <w:t xml:space="preserve">Rozsah, ktorý nie je potvrdený: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výber konkrétneho CRM produktu;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migrácia údajov z Excelov a e-mailov;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integrácie s e-mailom, účtovníctvom alebo inými systémami;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nastavenie používateľských rolí a prístupových práv;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školenia a riadenie zmeny;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podpora po spustení a prevádzkový model;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licencie a ich trvanie;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zapojenie ďalších zamestnancov mimo 25 obchodníkov;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 w:val="false"/>
          <w:bCs w:val="false"/>
          <w:i w:val="false"/>
          <w:iCs w:val="false"/>
        </w:rPr>
        <w:t xml:space="preserve">požiadavky na ochranu a uchovávanie údajov.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Tieto položky sú TBD — vyžaduje sa schválený rozsah a katalóg požiadaviek.</w:t>
      </w:r>
    </w:p>
    <w:p>
      <w:pPr>
        <w:spacing w:after="180" w:line="384"/>
        <w:jc w:val="both"/>
      </w:pPr>
      <w:r>
        <w:rPr>
          <w:b/>
          <w:bCs/>
          <w:i w:val="false"/>
          <w:iCs w:val="false"/>
        </w:rPr>
        <w:t xml:space="preserve">Predbežne vylúčené:</w:t>
      </w:r>
      <w:r>
        <w:rPr>
          <w:b w:val="false"/>
          <w:bCs w:val="false"/>
          <w:i w:val="false"/>
          <w:iCs w:val="false"/>
        </w:rPr>
        <w:t xml:space="preserve"> Nie je možné potvrdiť žiadne vylúčenie, pretože vstup pre rozsah a výstupy nebol dodaný. Všetky vylúčenia sú TBD — vyžaduje sa rozhodnutie o hraniciach rozsahu.</w:t>
      </w:r>
    </w:p>
    <w:p>
      <w:pPr>
        <w:spacing w:after="180" w:line="384"/>
        <w:jc w:val="both"/>
      </w:pPr>
      <w:r>
        <w:rPr>
          <w:b/>
          <w:bCs/>
          <w:i w:val="false"/>
          <w:iCs w:val="false"/>
        </w:rPr>
        <w:t xml:space="preserve">Predpoklady a závislosti: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dostupnosť 25 obchodníkov alebo ich zástupcov na analýzu, konfiguráciu, testovanie a školenie je TBD — vyžaduje sa kapacitné potvrdenie;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kvalita a dostupnosť údajov v Exceli a e-mailoch sú TBD — vyžaduje sa posúdenie údajov;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schválenie rozpočtu do 60 000 € je TBD — vyžaduje sa potvrdenie rozhodovacej autority;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 w:val="false"/>
          <w:bCs w:val="false"/>
          <w:i w:val="false"/>
          <w:iCs w:val="false"/>
        </w:rPr>
        <w:t xml:space="preserve">oprávnenie na zmenu rozsahu je TBD — vyžaduje sa určenie vlastníka investície alebo riadiaceho orgánu.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Zainteresované strany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Vedenie firmy:</w:t>
      </w:r>
      <w:r>
        <w:rPr>
          <w:b w:val="false"/>
          <w:bCs w:val="false"/>
          <w:i w:val="false"/>
          <w:iCs w:val="false"/>
        </w:rPr>
        <w:t xml:space="preserve"> má záujem o prehľad obchodnej pipeline a rozhodovanie na základe dostupných údajov. Konkrétna rozhodovacia právomoc a miera vplyvu sú TBD — vyžaduje sa záznam zainteresovaných strán.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25 obchodníkov:</w:t>
      </w:r>
      <w:r>
        <w:rPr>
          <w:b w:val="false"/>
          <w:bCs w:val="false"/>
          <w:i w:val="false"/>
          <w:iCs w:val="false"/>
        </w:rPr>
        <w:t xml:space="preserve"> sú zamýšľanými používateľmi CRM a môžu byť ovplyvnení zmenou spôsobu evidencie zákazníkov, komunikácie a ponúk. Ich požiadavky, dostupnosť a akceptácia sú TBD — vyžaduje sa analýza potrieb a pripravenosti.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Vlastník obchodného procesu:</w:t>
      </w:r>
      <w:r>
        <w:rPr>
          <w:b w:val="false"/>
          <w:bCs w:val="false"/>
          <w:i w:val="false"/>
          <w:iCs w:val="false"/>
        </w:rPr>
        <w:t xml:space="preserve"> nie je identifikovaný. Meno, mandát a zodpovednosť sú TBD — vyžaduje sa určenie vlastníka procesu.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Sponzor alebo financujúca autorita:</w:t>
      </w:r>
      <w:r>
        <w:rPr>
          <w:b w:val="false"/>
          <w:bCs w:val="false"/>
          <w:i w:val="false"/>
          <w:iCs w:val="false"/>
        </w:rPr>
        <w:t xml:space="preserve"> nie je identifikovaná. Úloha pri financovaní a schvaľovaní je TBD — vyžaduje sa riadiaci rámec iniciatívy.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Dodávateľ CRM alebo implementačný partner:</w:t>
      </w:r>
      <w:r>
        <w:rPr>
          <w:b w:val="false"/>
          <w:bCs w:val="false"/>
          <w:i w:val="false"/>
          <w:iCs w:val="false"/>
        </w:rPr>
        <w:t xml:space="preserve"> nie je identifikovaný. Požadované schopnosti, obstaranie a zodpovednosť sú TBD — vyžaduje sa návrh obstarania.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IT alebo správca systémov:</w:t>
      </w:r>
      <w:r>
        <w:rPr>
          <w:b w:val="false"/>
          <w:bCs w:val="false"/>
          <w:i w:val="false"/>
          <w:iCs w:val="false"/>
        </w:rPr>
        <w:t xml:space="preserve"> nie je identifikovaný. Úloha pri integráciách, prístupoch, podpore a bezpečnosti je TBD — vyžaduje sa posúdenie technologického prostredia.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Zákazníci firmy:</w:t>
      </w:r>
      <w:r>
        <w:rPr>
          <w:b w:val="false"/>
          <w:bCs w:val="false"/>
          <w:i w:val="false"/>
          <w:iCs w:val="false"/>
        </w:rPr>
        <w:t xml:space="preserve"> môžu byť nepriamo ovplyvnení kvalitou práce s údajmi a komunikácie. Konkrétny dopad je TBD — vyžaduje sa posúdenie dotknutých externých strán.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Ďalšie dotknuté útvary:</w:t>
      </w:r>
      <w:r>
        <w:rPr>
          <w:b w:val="false"/>
          <w:bCs w:val="false"/>
          <w:i w:val="false"/>
          <w:iCs w:val="false"/>
        </w:rPr>
        <w:t xml:space="preserve"> TBD — vyžaduje sa identifikácia útvarov zapojených do predaja, marketingu, financií, podpory a správy údajov.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Náklady a potreba zdrojov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Rozpočtový limit do 60 000 € je jediná dodaná finančná informácia. Nie je známe, či ide o celkové náklady vlastníctva, jednorazový rozpočet alebo inú kategóriu nákladov.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62"/>
        <w:gridCol w:w="2284"/>
        <w:gridCol w:w="1991"/>
        <w:gridCol w:w="1974"/>
        <w:gridCol w:w="2554"/>
        <w:gridCol w:w="2360"/>
        <w:gridCol w:w="2045"/>
      </w:tblGrid>
      <w:tr>
        <w:trPr>
          <w:cantSplit/>
          <w:tblHeader/>
        </w:trPr>
        <w:tc>
          <w:tcPr>
            <w:tcW w:type="dxa" w:w="136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ID nákladu</w:t>
            </w:r>
          </w:p>
        </w:tc>
        <w:tc>
          <w:tcPr>
            <w:tcW w:type="dxa" w:w="228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Kategória</w:t>
            </w:r>
          </w:p>
        </w:tc>
        <w:tc>
          <w:tcPr>
            <w:tcW w:type="dxa" w:w="199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Suma</w:t>
            </w:r>
          </w:p>
        </w:tc>
        <w:tc>
          <w:tcPr>
            <w:tcW w:type="dxa" w:w="197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Mena</w:t>
            </w:r>
          </w:p>
        </w:tc>
        <w:tc>
          <w:tcPr>
            <w:tcW w:type="dxa" w:w="255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Časové zaradenie</w:t>
            </w:r>
          </w:p>
        </w:tc>
        <w:tc>
          <w:tcPr>
            <w:tcW w:type="dxa" w:w="236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Základ</w:t>
            </w:r>
          </w:p>
        </w:tc>
        <w:tc>
          <w:tcPr>
            <w:tcW w:type="dxa" w:w="204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Zdroj</w:t>
            </w:r>
          </w:p>
        </w:tc>
      </w:tr>
      <w:tr>
        <w:trPr>
          <w:cantSplit/>
        </w:trPr>
        <w:tc>
          <w:tcPr>
            <w:tcW w:type="dxa" w:w="136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N-001</w:t>
            </w:r>
          </w:p>
        </w:tc>
        <w:tc>
          <w:tcPr>
            <w:tcW w:type="dxa" w:w="228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Celkový rozpočtový limit</w:t>
            </w:r>
          </w:p>
        </w:tc>
        <w:tc>
          <w:tcPr>
            <w:tcW w:type="dxa" w:w="199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 60 000</w:t>
            </w:r>
          </w:p>
        </w:tc>
        <w:tc>
          <w:tcPr>
            <w:tcW w:type="dxa" w:w="197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EUR</w:t>
            </w:r>
          </w:p>
        </w:tc>
        <w:tc>
          <w:tcPr>
            <w:tcW w:type="dxa" w:w="255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rozlíšenie jednorazových a opakovaných nákladov</w:t>
            </w:r>
          </w:p>
        </w:tc>
        <w:tc>
          <w:tcPr>
            <w:tcW w:type="dxa" w:w="236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Limit uvedený v zadaní; detailný odhad nie je dodaný</w:t>
            </w:r>
          </w:p>
        </w:tc>
        <w:tc>
          <w:tcPr>
            <w:tcW w:type="dxa" w:w="204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Zadanie používateľa</w:t>
            </w:r>
          </w:p>
        </w:tc>
      </w:tr>
      <w:tr>
        <w:trPr>
          <w:cantSplit/>
        </w:trPr>
        <w:tc>
          <w:tcPr>
            <w:tcW w:type="dxa" w:w="136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N-002</w:t>
            </w:r>
          </w:p>
        </w:tc>
        <w:tc>
          <w:tcPr>
            <w:tcW w:type="dxa" w:w="228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Licencie CRM</w:t>
            </w:r>
          </w:p>
        </w:tc>
        <w:tc>
          <w:tcPr>
            <w:tcW w:type="dxa" w:w="199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cenová ponuka alebo odhad</w:t>
            </w:r>
          </w:p>
        </w:tc>
        <w:tc>
          <w:tcPr>
            <w:tcW w:type="dxa" w:w="197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potvrdenie meny</w:t>
            </w:r>
          </w:p>
        </w:tc>
        <w:tc>
          <w:tcPr>
            <w:tcW w:type="dxa" w:w="255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obdobie a periodicita</w:t>
            </w:r>
          </w:p>
        </w:tc>
        <w:tc>
          <w:tcPr>
            <w:tcW w:type="dxa" w:w="236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vybraný produkt a počet licencií</w:t>
            </w:r>
          </w:p>
        </w:tc>
        <w:tc>
          <w:tcPr>
            <w:tcW w:type="dxa" w:w="204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Vstup pre náklady nebol dodaný</w:t>
            </w:r>
          </w:p>
        </w:tc>
      </w:tr>
      <w:tr>
        <w:trPr>
          <w:cantSplit/>
        </w:trPr>
        <w:tc>
          <w:tcPr>
            <w:tcW w:type="dxa" w:w="136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N-003</w:t>
            </w:r>
          </w:p>
        </w:tc>
        <w:tc>
          <w:tcPr>
            <w:tcW w:type="dxa" w:w="228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Implementácia a konfigurácia</w:t>
            </w:r>
          </w:p>
        </w:tc>
        <w:tc>
          <w:tcPr>
            <w:tcW w:type="dxa" w:w="199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odhad alebo ponuka</w:t>
            </w:r>
          </w:p>
        </w:tc>
        <w:tc>
          <w:tcPr>
            <w:tcW w:type="dxa" w:w="197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potvrdenie meny</w:t>
            </w:r>
          </w:p>
        </w:tc>
        <w:tc>
          <w:tcPr>
            <w:tcW w:type="dxa" w:w="255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harmonogram fakturácie</w:t>
            </w:r>
          </w:p>
        </w:tc>
        <w:tc>
          <w:tcPr>
            <w:tcW w:type="dxa" w:w="236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definícia rozsahu</w:t>
            </w:r>
          </w:p>
        </w:tc>
        <w:tc>
          <w:tcPr>
            <w:tcW w:type="dxa" w:w="204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Vstup pre náklady nebol dodaný</w:t>
            </w:r>
          </w:p>
        </w:tc>
      </w:tr>
      <w:tr>
        <w:trPr>
          <w:cantSplit/>
        </w:trPr>
        <w:tc>
          <w:tcPr>
            <w:tcW w:type="dxa" w:w="136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N-004</w:t>
            </w:r>
          </w:p>
        </w:tc>
        <w:tc>
          <w:tcPr>
            <w:tcW w:type="dxa" w:w="228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Migrácia údajov a integrácie</w:t>
            </w:r>
          </w:p>
        </w:tc>
        <w:tc>
          <w:tcPr>
            <w:tcW w:type="dxa" w:w="199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posúdenie údajov a systémov</w:t>
            </w:r>
          </w:p>
        </w:tc>
        <w:tc>
          <w:tcPr>
            <w:tcW w:type="dxa" w:w="197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potvrdenie meny</w:t>
            </w:r>
          </w:p>
        </w:tc>
        <w:tc>
          <w:tcPr>
            <w:tcW w:type="dxa" w:w="255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harmonogram</w:t>
            </w:r>
          </w:p>
        </w:tc>
        <w:tc>
          <w:tcPr>
            <w:tcW w:type="dxa" w:w="236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technický návrh</w:t>
            </w:r>
          </w:p>
        </w:tc>
        <w:tc>
          <w:tcPr>
            <w:tcW w:type="dxa" w:w="204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Vstup pre náklady nebol dodaný</w:t>
            </w:r>
          </w:p>
        </w:tc>
      </w:tr>
      <w:tr>
        <w:trPr>
          <w:cantSplit/>
        </w:trPr>
        <w:tc>
          <w:tcPr>
            <w:tcW w:type="dxa" w:w="136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N-005</w:t>
            </w:r>
          </w:p>
        </w:tc>
        <w:tc>
          <w:tcPr>
            <w:tcW w:type="dxa" w:w="228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Školenie, riadenie zmeny a podpora</w:t>
            </w:r>
          </w:p>
        </w:tc>
        <w:tc>
          <w:tcPr>
            <w:tcW w:type="dxa" w:w="199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plán adopcie a podpory</w:t>
            </w:r>
          </w:p>
        </w:tc>
        <w:tc>
          <w:tcPr>
            <w:tcW w:type="dxa" w:w="197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potvrdenie meny</w:t>
            </w:r>
          </w:p>
        </w:tc>
        <w:tc>
          <w:tcPr>
            <w:tcW w:type="dxa" w:w="255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obdobie realizácie a prevádzky</w:t>
            </w:r>
          </w:p>
        </w:tc>
        <w:tc>
          <w:tcPr>
            <w:tcW w:type="dxa" w:w="236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počet používateľov a rozsah podpory</w:t>
            </w:r>
          </w:p>
        </w:tc>
        <w:tc>
          <w:tcPr>
            <w:tcW w:type="dxa" w:w="204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Vstup pre náklady nebol dodaný</w:t>
            </w:r>
          </w:p>
        </w:tc>
      </w:tr>
    </w:tbl>
    <w:p>
      <w:pPr>
        <w:spacing w:after="120"/>
      </w:pPr>
    </w:p>
    <w:p>
      <w:pPr>
        <w:spacing w:after="180" w:line="384"/>
        <w:jc w:val="both"/>
      </w:pPr>
      <w:r>
        <w:rPr>
          <w:b/>
          <w:bCs/>
          <w:i w:val="false"/>
          <w:iCs w:val="false"/>
        </w:rPr>
        <w:t xml:space="preserve">Potrebné zdroje: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25 obchodníkov ako používatelia; rozsah ich zapojenia je TBD — vyžaduje sa kapacitný plán.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Vlastník obchodného procesu; osoba a dostupnosť sú TBD — vyžaduje sa určenie zodpovednosti.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IT alebo technologická kapacita; potrebné schopnosti a dostupnosť sú TBD — vyžaduje sa technologické posúdenie.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Implementačné a konfiguračné schopnosti; interný alebo externý model je TBD — vyžaduje sa rozhodnutie o zabezpečení zdrojov.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Kapacita na migráciu údajov z Excelov a e-mailov; kvalita a objem údajov sú TBD — vyžaduje sa dátová analýza.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 w:val="false"/>
          <w:bCs w:val="false"/>
          <w:i w:val="false"/>
          <w:iCs w:val="false"/>
        </w:rPr>
        <w:t xml:space="preserve">Prostriedky na školenie, podporu a riadenie zmeny; rozsah je TBD — vyžaduje sa plán adopcie.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Spoľahlivé porovnanie dostupnosti a cenovej primeranosti nie je možné bez rozpisu nákladov a zdrojových záväzkov.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Prínosy a hodnota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Dostupné podklady opisujú očakávané oblasti zlepšenia, neobsahujú však schválené cieľové hodnoty, finančné ocenenie, termíny realizácie prínosov ani vlastníkov prínosov. ROI, NPV, IRR, doba návratnosti ani súhrn prínosov sa preto nevypočítavajú.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33"/>
        <w:gridCol w:w="2246"/>
        <w:gridCol w:w="2281"/>
        <w:gridCol w:w="2569"/>
        <w:gridCol w:w="1995"/>
        <w:gridCol w:w="1912"/>
        <w:gridCol w:w="2234"/>
      </w:tblGrid>
      <w:tr>
        <w:trPr>
          <w:cantSplit/>
          <w:tblHeader/>
        </w:trPr>
        <w:tc>
          <w:tcPr>
            <w:tcW w:type="dxa" w:w="133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ID prínosu</w:t>
            </w:r>
          </w:p>
        </w:tc>
        <w:tc>
          <w:tcPr>
            <w:tcW w:type="dxa" w:w="224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Prínos</w:t>
            </w:r>
          </w:p>
        </w:tc>
        <w:tc>
          <w:tcPr>
            <w:tcW w:type="dxa" w:w="228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Príjemca prínosu</w:t>
            </w:r>
          </w:p>
        </w:tc>
        <w:tc>
          <w:tcPr>
            <w:tcW w:type="dxa" w:w="256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Ukazovateľ</w:t>
            </w:r>
          </w:p>
        </w:tc>
        <w:tc>
          <w:tcPr>
            <w:tcW w:type="dxa" w:w="199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Časové zaradenie</w:t>
            </w:r>
          </w:p>
        </w:tc>
        <w:tc>
          <w:tcPr>
            <w:tcW w:type="dxa" w:w="191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Vlastník</w:t>
            </w:r>
          </w:p>
        </w:tc>
        <w:tc>
          <w:tcPr>
            <w:tcW w:type="dxa" w:w="223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Dôkazy</w:t>
            </w:r>
          </w:p>
        </w:tc>
      </w:tr>
      <w:tr>
        <w:trPr>
          <w:cantSplit/>
        </w:trPr>
        <w:tc>
          <w:tcPr>
            <w:tcW w:type="dxa" w:w="133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P-001</w:t>
            </w:r>
          </w:p>
        </w:tc>
        <w:tc>
          <w:tcPr>
            <w:tcW w:type="dxa" w:w="224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Dostupnejšia história komunikácie so zákazníkmi</w:t>
            </w:r>
          </w:p>
        </w:tc>
        <w:tc>
          <w:tcPr>
            <w:tcW w:type="dxa" w:w="228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Obchodníci; ďalší príjemcovia TBD — vyžaduje sa analýza</w:t>
            </w:r>
          </w:p>
        </w:tc>
        <w:tc>
          <w:tcPr>
            <w:tcW w:type="dxa" w:w="256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Typ: nefinančný; východisková hodnota a cieľová hodnota TBD — vyžaduje sa definícia ukazovateľa</w:t>
            </w:r>
          </w:p>
        </w:tc>
        <w:tc>
          <w:tcPr>
            <w:tcW w:type="dxa" w:w="199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plán realizácie prínosu</w:t>
            </w:r>
          </w:p>
        </w:tc>
        <w:tc>
          <w:tcPr>
            <w:tcW w:type="dxa" w:w="191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určenie vlastníka prínosu</w:t>
            </w:r>
          </w:p>
        </w:tc>
        <w:tc>
          <w:tcPr>
            <w:tcW w:type="dxa" w:w="223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Zadanie uvádza, že obchodníci nevidia históriu komunikácie</w:t>
            </w:r>
          </w:p>
        </w:tc>
      </w:tr>
      <w:tr>
        <w:trPr>
          <w:cantSplit/>
        </w:trPr>
        <w:tc>
          <w:tcPr>
            <w:tcW w:type="dxa" w:w="133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P-002</w:t>
            </w:r>
          </w:p>
        </w:tc>
        <w:tc>
          <w:tcPr>
            <w:tcW w:type="dxa" w:w="224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Zníženie rizika straty obchodných ponúk</w:t>
            </w:r>
          </w:p>
        </w:tc>
        <w:tc>
          <w:tcPr>
            <w:tcW w:type="dxa" w:w="228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Obchodníci a vedenie; ďalší príjemcovia TBD — vyžaduje sa analýza</w:t>
            </w:r>
          </w:p>
        </w:tc>
        <w:tc>
          <w:tcPr>
            <w:tcW w:type="dxa" w:w="256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Typ: nefinančný alebo finančný, TBD — vyžaduje sa ocenenie; východisková a cieľová hodnota TBD</w:t>
            </w:r>
          </w:p>
        </w:tc>
        <w:tc>
          <w:tcPr>
            <w:tcW w:type="dxa" w:w="199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plán realizácie prínosu</w:t>
            </w:r>
          </w:p>
        </w:tc>
        <w:tc>
          <w:tcPr>
            <w:tcW w:type="dxa" w:w="191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určenie vlastníka prínosu</w:t>
            </w:r>
          </w:p>
        </w:tc>
        <w:tc>
          <w:tcPr>
            <w:tcW w:type="dxa" w:w="223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Zadanie uvádza, že ponuky sa strácajú</w:t>
            </w:r>
          </w:p>
        </w:tc>
      </w:tr>
      <w:tr>
        <w:trPr>
          <w:cantSplit/>
        </w:trPr>
        <w:tc>
          <w:tcPr>
            <w:tcW w:type="dxa" w:w="133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P-003</w:t>
            </w:r>
          </w:p>
        </w:tc>
        <w:tc>
          <w:tcPr>
            <w:tcW w:type="dxa" w:w="224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Lepší prehľad vedenia o obchodnej pipeline</w:t>
            </w:r>
          </w:p>
        </w:tc>
        <w:tc>
          <w:tcPr>
            <w:tcW w:type="dxa" w:w="228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Vedenie firmy</w:t>
            </w:r>
          </w:p>
        </w:tc>
        <w:tc>
          <w:tcPr>
            <w:tcW w:type="dxa" w:w="256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Typ: nefinančný; východisková hodnota a cieľová hodnota TBD — vyžaduje sa definícia reportingu</w:t>
            </w:r>
          </w:p>
        </w:tc>
        <w:tc>
          <w:tcPr>
            <w:tcW w:type="dxa" w:w="199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plán realizácie prínosu</w:t>
            </w:r>
          </w:p>
        </w:tc>
        <w:tc>
          <w:tcPr>
            <w:tcW w:type="dxa" w:w="191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určenie vlastníka prínosu</w:t>
            </w:r>
          </w:p>
        </w:tc>
        <w:tc>
          <w:tcPr>
            <w:tcW w:type="dxa" w:w="223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Zadanie uvádza, že vedenie nemá prehľad o pipeline</w:t>
            </w:r>
          </w:p>
        </w:tc>
      </w:tr>
    </w:tbl>
    <w:p>
      <w:pPr>
        <w:spacing w:after="120"/>
      </w:pP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Uvedené prínosy sú očakávané výsledky navrhovanej zmeny, nie potvrdené realizované prínosy. Ich dosiahnutie závisí najmä od výberu riešenia, kvality migrácie údajov, používania systému obchodníkmi, dostupnosti reportingu a riadenia zmeny. Tieto závislosti sú TBD — vyžaduje sa plán realizácie a merania prínosov.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Riziká a zmierňujúce opatrenia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Konkrétny register rizík nebol dodaný. Nasledujúce záznamy zachytávajú iba rizikové oblasti priamo vyplývajúce z dostupného zadania alebo z chýbajúcich podkladov. Pravdepodobnosť a dopad sa nehodnotia bez schválenej metodiky a dôkazov.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39"/>
        <w:gridCol w:w="1949"/>
        <w:gridCol w:w="2072"/>
        <w:gridCol w:w="2024"/>
        <w:gridCol w:w="2122"/>
        <w:gridCol w:w="1459"/>
        <w:gridCol w:w="1996"/>
        <w:gridCol w:w="1909"/>
      </w:tblGrid>
      <w:tr>
        <w:trPr>
          <w:cantSplit/>
          <w:tblHeader/>
        </w:trPr>
        <w:tc>
          <w:tcPr>
            <w:tcW w:type="dxa" w:w="103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ID rizika</w:t>
            </w:r>
          </w:p>
        </w:tc>
        <w:tc>
          <w:tcPr>
            <w:tcW w:type="dxa" w:w="194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Príčina</w:t>
            </w:r>
          </w:p>
        </w:tc>
        <w:tc>
          <w:tcPr>
            <w:tcW w:type="dxa" w:w="207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Riziková udalosť</w:t>
            </w:r>
          </w:p>
        </w:tc>
        <w:tc>
          <w:tcPr>
            <w:tcW w:type="dxa" w:w="202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Dôsledok</w:t>
            </w:r>
          </w:p>
        </w:tc>
        <w:tc>
          <w:tcPr>
            <w:tcW w:type="dxa" w:w="212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Pravdepodobnosť</w:t>
            </w:r>
          </w:p>
        </w:tc>
        <w:tc>
          <w:tcPr>
            <w:tcW w:type="dxa" w:w="145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Dopad</w:t>
            </w:r>
          </w:p>
        </w:tc>
        <w:tc>
          <w:tcPr>
            <w:tcW w:type="dxa" w:w="199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Reakcia</w:t>
            </w:r>
          </w:p>
        </w:tc>
        <w:tc>
          <w:tcPr>
            <w:tcW w:type="dxa" w:w="190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Vlastník</w:t>
            </w:r>
          </w:p>
        </w:tc>
      </w:tr>
      <w:tr>
        <w:trPr>
          <w:cantSplit/>
        </w:trPr>
        <w:tc>
          <w:tcPr>
            <w:tcW w:type="dxa" w:w="103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R-001</w:t>
            </w:r>
          </w:p>
        </w:tc>
        <w:tc>
          <w:tcPr>
            <w:tcW w:type="dxa" w:w="194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Používanie Excelov a e-mailov na evidenciu zákazníkov</w:t>
            </w:r>
          </w:p>
        </w:tc>
        <w:tc>
          <w:tcPr>
            <w:tcW w:type="dxa" w:w="207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Údaje sa nepodarí včas alebo kvalitne pripraviť na migráciu do CRM</w:t>
            </w:r>
          </w:p>
        </w:tc>
        <w:tc>
          <w:tcPr>
            <w:tcW w:type="dxa" w:w="202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Neúplná alebo nekvalitná história zákazníkov a ponúk; vplyv na prínosy a termín TBD</w:t>
            </w:r>
          </w:p>
        </w:tc>
        <w:tc>
          <w:tcPr>
            <w:tcW w:type="dxa" w:w="212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posúdenie údajov</w:t>
            </w:r>
          </w:p>
        </w:tc>
        <w:tc>
          <w:tcPr>
            <w:tcW w:type="dxa" w:w="145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posúdenie dopadu</w:t>
            </w:r>
          </w:p>
        </w:tc>
        <w:tc>
          <w:tcPr>
            <w:tcW w:type="dxa" w:w="199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Zmiernenie, postup migrácie a prípadná kontingencia TBD — vyžaduje sa dátová analýza a migračný plán; zvyšková neistota TBD</w:t>
            </w:r>
          </w:p>
        </w:tc>
        <w:tc>
          <w:tcPr>
            <w:tcW w:type="dxa" w:w="190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určenie vlastníka migrácie</w:t>
            </w:r>
          </w:p>
        </w:tc>
      </w:tr>
      <w:tr>
        <w:trPr>
          <w:cantSplit/>
        </w:trPr>
        <w:tc>
          <w:tcPr>
            <w:tcW w:type="dxa" w:w="103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R-002</w:t>
            </w:r>
          </w:p>
        </w:tc>
        <w:tc>
          <w:tcPr>
            <w:tcW w:type="dxa" w:w="194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Nie je dodaný návrh riešenia ani odhad nákladov</w:t>
            </w:r>
          </w:p>
        </w:tc>
        <w:tc>
          <w:tcPr>
            <w:tcW w:type="dxa" w:w="207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Vybrané riešenie prekročí rozpočet do 60 000 €</w:t>
            </w:r>
          </w:p>
        </w:tc>
        <w:tc>
          <w:tcPr>
            <w:tcW w:type="dxa" w:w="202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Potreba zmeny rozsahu, odloženia alebo ďalšieho preskúmania; dopad na cenovú dostupnosť TBD</w:t>
            </w:r>
          </w:p>
        </w:tc>
        <w:tc>
          <w:tcPr>
            <w:tcW w:type="dxa" w:w="212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odhad a ponuky</w:t>
            </w:r>
          </w:p>
        </w:tc>
        <w:tc>
          <w:tcPr>
            <w:tcW w:type="dxa" w:w="145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finančné posúdenie</w:t>
            </w:r>
          </w:p>
        </w:tc>
        <w:tc>
          <w:tcPr>
            <w:tcW w:type="dxa" w:w="199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Získať porovnateľné odhady a potvrdiť, čo rozpočtový limit zahŕňa; kontingencia TBD</w:t>
            </w:r>
          </w:p>
        </w:tc>
        <w:tc>
          <w:tcPr>
            <w:tcW w:type="dxa" w:w="190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určenie finančného vlastníka</w:t>
            </w:r>
          </w:p>
        </w:tc>
      </w:tr>
      <w:tr>
        <w:trPr>
          <w:cantSplit/>
        </w:trPr>
        <w:tc>
          <w:tcPr>
            <w:tcW w:type="dxa" w:w="103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R-003</w:t>
            </w:r>
          </w:p>
        </w:tc>
        <w:tc>
          <w:tcPr>
            <w:tcW w:type="dxa" w:w="194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Požiadavka na spustenie do 6 mesiacov bez dodaného harmonogramu</w:t>
            </w:r>
          </w:p>
        </w:tc>
        <w:tc>
          <w:tcPr>
            <w:tcW w:type="dxa" w:w="207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Implementácia, testovanie alebo školenie sa oneskorí</w:t>
            </w:r>
          </w:p>
        </w:tc>
        <w:tc>
          <w:tcPr>
            <w:tcW w:type="dxa" w:w="202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Spustenie po požadovanom termíne alebo obmedzený rozsah pri spustení; dopad TBD</w:t>
            </w:r>
          </w:p>
        </w:tc>
        <w:tc>
          <w:tcPr>
            <w:tcW w:type="dxa" w:w="212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kapacitné a harmonogramové posúdenie</w:t>
            </w:r>
          </w:p>
        </w:tc>
        <w:tc>
          <w:tcPr>
            <w:tcW w:type="dxa" w:w="145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posúdenie dopadu</w:t>
            </w:r>
          </w:p>
        </w:tc>
        <w:tc>
          <w:tcPr>
            <w:tcW w:type="dxa" w:w="199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Vypracovať realistický harmonogram, závislosti a rozhodovacie body; kontingencia TBD</w:t>
            </w:r>
          </w:p>
        </w:tc>
        <w:tc>
          <w:tcPr>
            <w:tcW w:type="dxa" w:w="190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určenie projektového vlastníka</w:t>
            </w:r>
          </w:p>
        </w:tc>
      </w:tr>
      <w:tr>
        <w:trPr>
          <w:cantSplit/>
        </w:trPr>
        <w:tc>
          <w:tcPr>
            <w:tcW w:type="dxa" w:w="103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R-004</w:t>
            </w:r>
          </w:p>
        </w:tc>
        <w:tc>
          <w:tcPr>
            <w:tcW w:type="dxa" w:w="194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Neurčené požiadavky a rozsah</w:t>
            </w:r>
          </w:p>
        </w:tc>
        <w:tc>
          <w:tcPr>
            <w:tcW w:type="dxa" w:w="207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Riešenie nebude zodpovedať potrebám obchodníkov alebo vedenia</w:t>
            </w:r>
          </w:p>
        </w:tc>
        <w:tc>
          <w:tcPr>
            <w:tcW w:type="dxa" w:w="202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Nižšie používanie, neúplný reporting a nenaplnenie prínosov</w:t>
            </w:r>
          </w:p>
        </w:tc>
        <w:tc>
          <w:tcPr>
            <w:tcW w:type="dxa" w:w="212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analýza požiadaviek</w:t>
            </w:r>
          </w:p>
        </w:tc>
        <w:tc>
          <w:tcPr>
            <w:tcW w:type="dxa" w:w="145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posúdenie dopadu</w:t>
            </w:r>
          </w:p>
        </w:tc>
        <w:tc>
          <w:tcPr>
            <w:tcW w:type="dxa" w:w="199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Získať a schváliť požiadavky, rozsah a akceptačné kritériá; zvyšková neistota TBD</w:t>
            </w:r>
          </w:p>
        </w:tc>
        <w:tc>
          <w:tcPr>
            <w:tcW w:type="dxa" w:w="190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určenie vlastníka požiadaviek</w:t>
            </w:r>
          </w:p>
        </w:tc>
      </w:tr>
      <w:tr>
        <w:trPr>
          <w:cantSplit/>
        </w:trPr>
        <w:tc>
          <w:tcPr>
            <w:tcW w:type="dxa" w:w="103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R-005</w:t>
            </w:r>
          </w:p>
        </w:tc>
        <w:tc>
          <w:tcPr>
            <w:tcW w:type="dxa" w:w="194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Neurčený prevádzkový model a zodpovednosti</w:t>
            </w:r>
          </w:p>
        </w:tc>
        <w:tc>
          <w:tcPr>
            <w:tcW w:type="dxa" w:w="207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 spustení nebude zabezpečená správa, podpora alebo vlastníctvo údajov</w:t>
            </w:r>
          </w:p>
        </w:tc>
        <w:tc>
          <w:tcPr>
            <w:tcW w:type="dxa" w:w="202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Zníženie udržateľnosti riešenia a realizácie prínosov</w:t>
            </w:r>
          </w:p>
        </w:tc>
        <w:tc>
          <w:tcPr>
            <w:tcW w:type="dxa" w:w="212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prevádzkové posúdenie</w:t>
            </w:r>
          </w:p>
        </w:tc>
        <w:tc>
          <w:tcPr>
            <w:tcW w:type="dxa" w:w="145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posúdenie dopadu</w:t>
            </w:r>
          </w:p>
        </w:tc>
        <w:tc>
          <w:tcPr>
            <w:tcW w:type="dxa" w:w="199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Definovať vlastníkov, podporu a prevádzkové povinnosti; kontingencia TBD</w:t>
            </w:r>
          </w:p>
        </w:tc>
        <w:tc>
          <w:tcPr>
            <w:tcW w:type="dxa" w:w="190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určenie prevádzkového vlastníka</w:t>
            </w:r>
          </w:p>
        </w:tc>
      </w:tr>
    </w:tbl>
    <w:p>
      <w:pPr>
        <w:spacing w:after="120"/>
      </w:pP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Riziká nie sú prijaté ani schválené. Ich expozícia pre investičné rozhodnutie zostáva TBD — vyžaduje sa formálne posúdenie rizík.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Harmonogram a ďalšie kroky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Požadované spustenie do 6 mesiacov je uvedené v zadaní. Nejde o potvrdený dodací záväzok. Konkrétne dátumy, trvania a vlastníci jednotlivých krokov nie sú dodané.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24"/>
        <w:gridCol w:w="2309"/>
        <w:gridCol w:w="2359"/>
        <w:gridCol w:w="2293"/>
        <w:gridCol w:w="2295"/>
        <w:gridCol w:w="2590"/>
      </w:tblGrid>
      <w:tr>
        <w:trPr>
          <w:cantSplit/>
          <w:tblHeader/>
        </w:trPr>
        <w:tc>
          <w:tcPr>
            <w:tcW w:type="dxa" w:w="272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Míľnik</w:t>
            </w:r>
          </w:p>
        </w:tc>
        <w:tc>
          <w:tcPr>
            <w:tcW w:type="dxa" w:w="230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Cieľový dátum</w:t>
            </w:r>
          </w:p>
        </w:tc>
        <w:tc>
          <w:tcPr>
            <w:tcW w:type="dxa" w:w="235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Závislosť</w:t>
            </w:r>
          </w:p>
        </w:tc>
        <w:tc>
          <w:tcPr>
            <w:tcW w:type="dxa" w:w="229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Rozhodovací bod</w:t>
            </w:r>
          </w:p>
        </w:tc>
        <w:tc>
          <w:tcPr>
            <w:tcW w:type="dxa" w:w="229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Vlastník</w:t>
            </w:r>
          </w:p>
        </w:tc>
        <w:tc>
          <w:tcPr>
            <w:tcW w:type="dxa" w:w="25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Stav</w:t>
            </w:r>
          </w:p>
        </w:tc>
      </w:tr>
      <w:tr>
        <w:trPr>
          <w:cantSplit/>
        </w:trPr>
        <w:tc>
          <w:tcPr>
            <w:tcW w:type="dxa" w:w="272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Doplnenie obchodnej potreby a strategického kontextu</w:t>
            </w:r>
          </w:p>
        </w:tc>
        <w:tc>
          <w:tcPr>
            <w:tcW w:type="dxa" w:w="230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schválený termín</w:t>
            </w:r>
          </w:p>
        </w:tc>
        <w:tc>
          <w:tcPr>
            <w:tcW w:type="dxa" w:w="235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Dostupnosť aktuálnych údajov a strategických priorít</w:t>
            </w:r>
          </w:p>
        </w:tc>
        <w:tc>
          <w:tcPr>
            <w:tcW w:type="dxa" w:w="229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Potvrdiť, že potreba odôvodňuje ďalšie preskúmanie</w:t>
            </w:r>
          </w:p>
        </w:tc>
        <w:tc>
          <w:tcPr>
            <w:tcW w:type="dxa" w:w="229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určenie vlastníka</w:t>
            </w:r>
          </w:p>
        </w:tc>
        <w:tc>
          <w:tcPr>
            <w:tcW w:type="dxa" w:w="25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Nezačaté — podklad nie je dodaný</w:t>
            </w:r>
          </w:p>
        </w:tc>
      </w:tr>
      <w:tr>
        <w:trPr>
          <w:cantSplit/>
        </w:trPr>
        <w:tc>
          <w:tcPr>
            <w:tcW w:type="dxa" w:w="272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Zber a schválenie požiadaviek a rozsahu</w:t>
            </w:r>
          </w:p>
        </w:tc>
        <w:tc>
          <w:tcPr>
            <w:tcW w:type="dxa" w:w="230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schválený termín</w:t>
            </w:r>
          </w:p>
        </w:tc>
        <w:tc>
          <w:tcPr>
            <w:tcW w:type="dxa" w:w="235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Dostupnosť obchodníkov, vedenia a IT</w:t>
            </w:r>
          </w:p>
        </w:tc>
        <w:tc>
          <w:tcPr>
            <w:tcW w:type="dxa" w:w="229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Schváliť rozsah a akceptačné kritériá</w:t>
            </w:r>
          </w:p>
        </w:tc>
        <w:tc>
          <w:tcPr>
            <w:tcW w:type="dxa" w:w="229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určenie vlastníka požiadaviek</w:t>
            </w:r>
          </w:p>
        </w:tc>
        <w:tc>
          <w:tcPr>
            <w:tcW w:type="dxa" w:w="25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Nezačaté — podklad nie je dodaný</w:t>
            </w:r>
          </w:p>
        </w:tc>
      </w:tr>
      <w:tr>
        <w:trPr>
          <w:cantSplit/>
        </w:trPr>
        <w:tc>
          <w:tcPr>
            <w:tcW w:type="dxa" w:w="272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Porovnanie CRM možností a nákladov</w:t>
            </w:r>
          </w:p>
        </w:tc>
        <w:tc>
          <w:tcPr>
            <w:tcW w:type="dxa" w:w="230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schválený termín</w:t>
            </w:r>
          </w:p>
        </w:tc>
        <w:tc>
          <w:tcPr>
            <w:tcW w:type="dxa" w:w="235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Požiadavky, cenové odhady a informácie o produktoch</w:t>
            </w:r>
          </w:p>
        </w:tc>
        <w:tc>
          <w:tcPr>
            <w:tcW w:type="dxa" w:w="229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Vybrať preferovanú možnosť alebo rozhodnúť o ďalšom preskúmaní</w:t>
            </w:r>
          </w:p>
        </w:tc>
        <w:tc>
          <w:tcPr>
            <w:tcW w:type="dxa" w:w="229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určenie rozhodovacej autority</w:t>
            </w:r>
          </w:p>
        </w:tc>
        <w:tc>
          <w:tcPr>
            <w:tcW w:type="dxa" w:w="25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Nezačaté — podklad nie je dodaný</w:t>
            </w:r>
          </w:p>
        </w:tc>
      </w:tr>
      <w:tr>
        <w:trPr>
          <w:cantSplit/>
        </w:trPr>
        <w:tc>
          <w:tcPr>
            <w:tcW w:type="dxa" w:w="272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Posúdenie realizovateľnosti do 6 mesiacov</w:t>
            </w:r>
          </w:p>
        </w:tc>
        <w:tc>
          <w:tcPr>
            <w:tcW w:type="dxa" w:w="230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schválený termín</w:t>
            </w:r>
          </w:p>
        </w:tc>
        <w:tc>
          <w:tcPr>
            <w:tcW w:type="dxa" w:w="235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Kapacity, migrácia, integrácie a dodávateľ</w:t>
            </w:r>
          </w:p>
        </w:tc>
        <w:tc>
          <w:tcPr>
            <w:tcW w:type="dxa" w:w="229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Potvrdiť alebo spochybniť cieľový termín</w:t>
            </w:r>
          </w:p>
        </w:tc>
        <w:tc>
          <w:tcPr>
            <w:tcW w:type="dxa" w:w="229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určenie projektového vlastníka</w:t>
            </w:r>
          </w:p>
        </w:tc>
        <w:tc>
          <w:tcPr>
            <w:tcW w:type="dxa" w:w="25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Nezačaté — podklad nie je dodaný</w:t>
            </w:r>
          </w:p>
        </w:tc>
      </w:tr>
      <w:tr>
        <w:trPr>
          <w:cantSplit/>
        </w:trPr>
        <w:tc>
          <w:tcPr>
            <w:tcW w:type="dxa" w:w="272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Investičné rozhodnutie</w:t>
            </w:r>
          </w:p>
        </w:tc>
        <w:tc>
          <w:tcPr>
            <w:tcW w:type="dxa" w:w="230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schválený termín</w:t>
            </w:r>
          </w:p>
        </w:tc>
        <w:tc>
          <w:tcPr>
            <w:tcW w:type="dxa" w:w="235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Business Case, náklady, prínosy a riziká</w:t>
            </w:r>
          </w:p>
        </w:tc>
        <w:tc>
          <w:tcPr>
            <w:tcW w:type="dxa" w:w="229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Schváliť, zamietnuť, odložiť alebo vyžiadať ďalšie preskúmanie</w:t>
            </w:r>
          </w:p>
        </w:tc>
        <w:tc>
          <w:tcPr>
            <w:tcW w:type="dxa" w:w="229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identifikácia autority</w:t>
            </w:r>
          </w:p>
        </w:tc>
        <w:tc>
          <w:tcPr>
            <w:tcW w:type="dxa" w:w="25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Nezačaté — podklad nie je dodaný</w:t>
            </w:r>
          </w:p>
        </w:tc>
      </w:tr>
      <w:tr>
        <w:trPr>
          <w:cantSplit/>
        </w:trPr>
        <w:tc>
          <w:tcPr>
            <w:tcW w:type="dxa" w:w="272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Spustenie CRM</w:t>
            </w:r>
          </w:p>
        </w:tc>
        <w:tc>
          <w:tcPr>
            <w:tcW w:type="dxa" w:w="230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 6 mesiacov podľa zadania; presný dátum TBD — vyžaduje sa schválený harmonogram</w:t>
            </w:r>
          </w:p>
        </w:tc>
        <w:tc>
          <w:tcPr>
            <w:tcW w:type="dxa" w:w="235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Schválený rozsah, riešenie, zdroje, migrácia a testovanie</w:t>
            </w:r>
          </w:p>
        </w:tc>
        <w:tc>
          <w:tcPr>
            <w:tcW w:type="dxa" w:w="229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Potvrdiť pripravenosť na spustenie</w:t>
            </w:r>
          </w:p>
        </w:tc>
        <w:tc>
          <w:tcPr>
            <w:tcW w:type="dxa" w:w="229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určenie vlastníka</w:t>
            </w:r>
          </w:p>
        </w:tc>
        <w:tc>
          <w:tcPr>
            <w:tcW w:type="dxa" w:w="25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Požadovaný termín; realizovateľnosť nepotvrdená</w:t>
            </w:r>
          </w:p>
        </w:tc>
      </w:tr>
    </w:tbl>
    <w:p>
      <w:pPr>
        <w:spacing w:after="120"/>
      </w:pPr>
    </w:p>
    <w:p>
      <w:pPr>
        <w:spacing w:after="180" w:line="384"/>
        <w:jc w:val="both"/>
      </w:pPr>
      <w:r>
        <w:rPr>
          <w:b/>
          <w:bCs/>
          <w:i w:val="false"/>
          <w:iCs w:val="false"/>
        </w:rPr>
        <w:t xml:space="preserve">Najbližšie kroky: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Doplniť možnosti vrátane súčasného stavu alebo alternatív — vlastník a termín TBD.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Vypracovať rozpis nákladov v rámci limitu 60 000 € — vlastník a termín TBD.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Definovať merateľné ciele, prínosy, východiskové hodnoty a cieľové hodnoty — vlastník a termín TBD.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Určiť rozsah migrácie, integrácií, školení a podpory — vlastník a termín TBD.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Vypracovať register rizík a posúdiť realizovateľnosť spustenia do 6 mesiacov — vlastník a termín TBD.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 w:val="false"/>
          <w:bCs w:val="false"/>
          <w:i w:val="false"/>
          <w:iCs w:val="false"/>
        </w:rPr>
        <w:t xml:space="preserve">Určiť sponzora, vlastníka investície a rozhodovaciu autoritu — termín TBD.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Odporúčanie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Na základe dostupných podkladov nie je možné podložiť odporúčanie na schválenie, zamietnutie ani odloženie iniciatívy. Odporúča sa </w:t>
      </w:r>
      <w:r>
        <w:rPr>
          <w:b/>
          <w:bCs/>
          <w:i w:val="false"/>
          <w:iCs w:val="false"/>
        </w:rPr>
        <w:t xml:space="preserve">ďalšie preskúmanie</w:t>
      </w:r>
      <w:r>
        <w:rPr>
          <w:b w:val="false"/>
          <w:bCs w:val="false"/>
          <w:i w:val="false"/>
          <w:iCs w:val="false"/>
        </w:rPr>
        <w:t xml:space="preserve"> pred prijatím investičného rozhodnutia, pretože potreba je identifikovaná, ale chýbajú podklady potrebné na porovnanie možností a potvrdenie investičnej opodstatnenosti.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Ďalšie preskúmanie by malo minimálne potvrdiť: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porovnateľné možnosti a ich rozsah;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úplné jednorazové a opakované náklady vrátane licencovania, implementácie, migrácie, integrácií, školení a podpory;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merateľné prínosy, východiskové hodnoty, cieľové hodnoty a vlastníkov prínosov;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riziká, závislosti a opatrenia;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realizovateľnosť spustenia do 6 mesiacov;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 w:val="false"/>
          <w:bCs w:val="false"/>
          <w:i w:val="false"/>
          <w:iCs w:val="false"/>
        </w:rPr>
        <w:t xml:space="preserve">strategický súlad a rozhodovaciu autoritu.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Rozpočtový limit do 60 000 € a termín do 6 mesiacov predstavujú rozhodovacie obmedzenia, nie potvrdený dôkaz realizovateľnosti. Konečné rozhodnutie má prijať TBD — vyžaduje sa identifikácia sponzora, investičnej komisie alebo inej oprávnenej rozhodovacej autority.</w:t>
      </w:r>
    </w:p>
    <w:sectPr>
      <w:footerReference w:type="default" r:id="rId7"/>
      <w:pgSz w:w="16838" w:h="11906" w:orient="landscape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6B7079"/>
        <w:sz w:val="18"/>
        <w:szCs w:val="18"/>
      </w:rPr>
      <w:t xml:space="preserve">Vygenerované pomocou AI v Baaito – pred použitím skontrolujte.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start"/>
      <w:pPr>
        <w:ind w:left="54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32B"/>
        <w:sz w:val="21"/>
        <w:szCs w:val="21"/>
      </w:rPr>
    </w:rPrDefault>
    <w:pPrDefault>
      <w:pPr>
        <w:spacing w:line="38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Case — Zavedenie CRM pre obchodný tím</dc:title>
  <dc:subject>AI-generated document</dc:subject>
  <dc:creator>Baaito (AI-generated)</dc:creator>
  <cp:keywords>AI-generated, Baaito</cp:keywords>
  <dc:description>Generator: Baaito (AI-generated), model: gpt-5.6-luna, date: 2026-10-28</dc:description>
  <cp:lastModifiedBy>Baaito</cp:lastModifiedBy>
  <cp:revision>1</cp:revision>
  <dcterms:created xsi:type="dcterms:W3CDTF">2026-10-28T19:01:17.473Z</dcterms:created>
  <dcterms:modified xsi:type="dcterms:W3CDTF">2026-10-28T19:01:17.473Z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Baaito (AI-generated)</vt:lpwstr>
  </property>
  <property fmtid="{D5CDD505-2E9C-101B-9397-08002B2CF9AE}" pid="3" name="AI model">
    <vt:lpwstr>gpt-5.6-luna</vt:lpwstr>
  </property>
  <property fmtid="{D5CDD505-2E9C-101B-9397-08002B2CF9AE}" pid="4" name="Generated">
    <vt:lpwstr>2026-10-28</vt:lpwstr>
  </property>
</Properties>
</file>