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8DBE0" w:sz="4" w:space="8"/>
        </w:pBdr>
        <w:spacing w:after="240"/>
      </w:pPr>
      <w:r>
        <w:rPr>
          <w:rFonts w:ascii="Calibri" w:cs="Calibri" w:eastAsia="Calibri" w:hAnsi="Calibri"/>
          <w:b/>
          <w:bCs/>
          <w:color w:val="1F232B"/>
          <w:sz w:val="36"/>
          <w:szCs w:val="36"/>
        </w:rPr>
        <w:t xml:space="preserve">Project Charter — Migrace firemního webu do cloudu</w:t>
      </w:r>
    </w:p>
    <w:p>
      <w:pPr>
        <w:keepNext/>
        <w:spacing w:after="200" w:before="0"/>
      </w:pPr>
      <w:r>
        <w:rPr>
          <w:b/>
          <w:bCs/>
          <w:i w:val="false"/>
          <w:iCs w:val="false"/>
          <w:color w:val="1F232B"/>
          <w:sz w:val="39"/>
          <w:szCs w:val="39"/>
        </w:rPr>
        <w:t xml:space="preserve">Projektová charta</w:t>
      </w:r>
    </w:p>
    <w:p>
      <w:pPr>
        <w:keepNext/>
        <w:spacing w:after="160" w:before="400"/>
      </w:pPr>
      <w:r>
        <w:rPr>
          <w:b/>
          <w:bCs/>
          <w:i w:val="false"/>
          <w:iCs w:val="false"/>
          <w:color w:val="1F232B"/>
          <w:sz w:val="30"/>
          <w:szCs w:val="30"/>
        </w:rPr>
        <w:t xml:space="preserve">Účel projektu a obchodní zdůvodnění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Firma zamýšlí přesunout firemní web a zákaznický portál z vlastních serverů do cloudového prostředí. Tento přesun představuje evidovaný účel projektu; konkrétní obchodní přínosy, strategické zdůvodnění a očekávané výsledky nebyly dodány.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Projekt je podle dodaného zadání plánován na 4 měsíce s rozpočtem 45 000 €. Sponzorem projektu je IT ředitel. Realizační tým má tvořit projektový manažer, dva vývojáři a externí dodavatel cloudu.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Formální rozhodnutí požadované od sponzora je TBD — vyžadováno je potvrzení, zda IT ředitel schvaluje zahájení projektu, jeho rozsah, rozpočet, dobu trvání a navržený způsob řízení. Podrobné varianty řešení, plán dodávky, technická architektura a migrační postup jsou TBD — vyžadovány jsou schválené projektové a technické podklady.</w:t>
      </w:r>
    </w:p>
    <w:p>
      <w:pPr>
        <w:keepNext/>
        <w:spacing w:after="160" w:before="400"/>
      </w:pPr>
      <w:r>
        <w:rPr>
          <w:b/>
          <w:bCs/>
          <w:i w:val="false"/>
          <w:iCs w:val="false"/>
          <w:color w:val="1F232B"/>
          <w:sz w:val="30"/>
          <w:szCs w:val="30"/>
        </w:rPr>
        <w:t xml:space="preserve">Cíle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Přesunout firemní web z vlastních serverů do cloudu — měřítko, cílová hodnota, vlastník a termín jsou TBD; vyžadován je schválený seznam cílů a odpovědností.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Přesunout zákaznický portál z vlastních serverů do cloudu — měřítko, cílová hodnota, vlastník a termín jsou TBD; vyžadován je schválený seznam cílů a odpovědností.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Dokončit projekt v předpokládaném trvání 4 měsíců — charakter tohoto termínu jako závazného cíle nebo odhadu je TBD; vyžadován je schválený harmonogram.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 w:val="false"/>
          <w:bCs w:val="false"/>
          <w:i w:val="false"/>
          <w:iCs w:val="false"/>
        </w:rPr>
        <w:t xml:space="preserve">Provést projekt v rozpočtu 45 000 € — není potvrzeno, zda jde o požadovaný, odhadovaný nebo autorizovaný rozpočet; vyžadován je schválený rozpočtový rámec.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Konkrétní přínosy pro firmu, zákazníky nebo provoz, stejně jako kritéria pro posouzení dosažení cílů, nebyly dodány. Tyto informace jsou TBD — vyžadován je schválený business case nebo obdobné zdůvodnění.</w:t>
      </w:r>
    </w:p>
    <w:p>
      <w:pPr>
        <w:keepNext/>
        <w:spacing w:after="160" w:before="400"/>
      </w:pPr>
      <w:r>
        <w:rPr>
          <w:b/>
          <w:bCs/>
          <w:i w:val="false"/>
          <w:iCs w:val="false"/>
          <w:color w:val="1F232B"/>
          <w:sz w:val="30"/>
          <w:szCs w:val="30"/>
        </w:rPr>
        <w:t xml:space="preserve">Rozsah a hranice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93"/>
        <w:gridCol w:w="2060"/>
        <w:gridCol w:w="2749"/>
        <w:gridCol w:w="2609"/>
        <w:gridCol w:w="2430"/>
        <w:gridCol w:w="2429"/>
      </w:tblGrid>
      <w:tr>
        <w:trPr>
          <w:cantSplit/>
          <w:tblHeader/>
        </w:trPr>
        <w:tc>
          <w:tcPr>
            <w:tcW w:type="dxa" w:w="229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Položka rozsahu</w:t>
            </w:r>
          </w:p>
        </w:tc>
        <w:tc>
          <w:tcPr>
            <w:tcW w:type="dxa" w:w="206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Klasifikace</w:t>
            </w:r>
          </w:p>
        </w:tc>
        <w:tc>
          <w:tcPr>
            <w:tcW w:type="dxa" w:w="274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Popis</w:t>
            </w:r>
          </w:p>
        </w:tc>
        <w:tc>
          <w:tcPr>
            <w:tcW w:type="dxa" w:w="260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Odůvodnění</w:t>
            </w:r>
          </w:p>
        </w:tc>
        <w:tc>
          <w:tcPr>
            <w:tcW w:type="dxa" w:w="243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Vlastník</w:t>
            </w:r>
          </w:p>
        </w:tc>
        <w:tc>
          <w:tcPr>
            <w:tcW w:type="dxa" w:w="242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Stav</w:t>
            </w:r>
          </w:p>
        </w:tc>
      </w:tr>
      <w:tr>
        <w:trPr>
          <w:cantSplit/>
        </w:trPr>
        <w:tc>
          <w:tcPr>
            <w:tcW w:type="dxa" w:w="229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Firemní web</w:t>
            </w:r>
          </w:p>
        </w:tc>
        <w:tc>
          <w:tcPr>
            <w:tcW w:type="dxa" w:w="206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Zahrnuto — předběžně</w:t>
            </w:r>
          </w:p>
        </w:tc>
        <w:tc>
          <w:tcPr>
            <w:tcW w:type="dxa" w:w="274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Přesun z vlastních serverů do cloudu</w:t>
            </w:r>
          </w:p>
        </w:tc>
        <w:tc>
          <w:tcPr>
            <w:tcW w:type="dxa" w:w="260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Vyplývá z dodaného projektového zadání</w:t>
            </w:r>
          </w:p>
        </w:tc>
        <w:tc>
          <w:tcPr>
            <w:tcW w:type="dxa" w:w="243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vyžadováno potvrzení vlastníka</w:t>
            </w:r>
          </w:p>
        </w:tc>
        <w:tc>
          <w:tcPr>
            <w:tcW w:type="dxa" w:w="242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Předběžně identifikováno</w:t>
            </w:r>
          </w:p>
        </w:tc>
      </w:tr>
      <w:tr>
        <w:trPr>
          <w:cantSplit/>
        </w:trPr>
        <w:tc>
          <w:tcPr>
            <w:tcW w:type="dxa" w:w="229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Zákaznický portál</w:t>
            </w:r>
          </w:p>
        </w:tc>
        <w:tc>
          <w:tcPr>
            <w:tcW w:type="dxa" w:w="206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Zahrnuto — předběžně</w:t>
            </w:r>
          </w:p>
        </w:tc>
        <w:tc>
          <w:tcPr>
            <w:tcW w:type="dxa" w:w="274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Přesun z vlastních serverů do cloudu</w:t>
            </w:r>
          </w:p>
        </w:tc>
        <w:tc>
          <w:tcPr>
            <w:tcW w:type="dxa" w:w="260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Vyplývá z dodaného projektového zadání</w:t>
            </w:r>
          </w:p>
        </w:tc>
        <w:tc>
          <w:tcPr>
            <w:tcW w:type="dxa" w:w="243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vyžadováno potvrzení vlastníka</w:t>
            </w:r>
          </w:p>
        </w:tc>
        <w:tc>
          <w:tcPr>
            <w:tcW w:type="dxa" w:w="242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Předběžně identifikováno</w:t>
            </w:r>
          </w:p>
        </w:tc>
      </w:tr>
      <w:tr>
        <w:trPr>
          <w:cantSplit/>
        </w:trPr>
        <w:tc>
          <w:tcPr>
            <w:tcW w:type="dxa" w:w="229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Cloudové prostředí</w:t>
            </w:r>
          </w:p>
        </w:tc>
        <w:tc>
          <w:tcPr>
            <w:tcW w:type="dxa" w:w="206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Zahrnuto — předběžně</w:t>
            </w:r>
          </w:p>
        </w:tc>
        <w:tc>
          <w:tcPr>
            <w:tcW w:type="dxa" w:w="274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Zapojení externího dodavatele cloudu pro potřeby přesunu</w:t>
            </w:r>
          </w:p>
        </w:tc>
        <w:tc>
          <w:tcPr>
            <w:tcW w:type="dxa" w:w="260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Vyplývá z dodaného složení týmu</w:t>
            </w:r>
          </w:p>
        </w:tc>
        <w:tc>
          <w:tcPr>
            <w:tcW w:type="dxa" w:w="243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vyžadováno potvrzení odpovědnosti</w:t>
            </w:r>
          </w:p>
        </w:tc>
        <w:tc>
          <w:tcPr>
            <w:tcW w:type="dxa" w:w="242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Předběžně identifikováno</w:t>
            </w:r>
          </w:p>
        </w:tc>
      </w:tr>
      <w:tr>
        <w:trPr>
          <w:cantSplit/>
        </w:trPr>
        <w:tc>
          <w:tcPr>
            <w:tcW w:type="dxa" w:w="229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Migrace dat, integrací a konfigurace</w:t>
            </w:r>
          </w:p>
        </w:tc>
        <w:tc>
          <w:tcPr>
            <w:tcW w:type="dxa" w:w="206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</w:t>
            </w:r>
          </w:p>
        </w:tc>
        <w:tc>
          <w:tcPr>
            <w:tcW w:type="dxa" w:w="274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Podrobné hranice technického přesunu nebyly dodány</w:t>
            </w:r>
          </w:p>
        </w:tc>
        <w:tc>
          <w:tcPr>
            <w:tcW w:type="dxa" w:w="260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Vyžadováno je schválené technické zadání</w:t>
            </w:r>
          </w:p>
        </w:tc>
        <w:tc>
          <w:tcPr>
            <w:tcW w:type="dxa" w:w="243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</w:t>
            </w:r>
          </w:p>
        </w:tc>
        <w:tc>
          <w:tcPr>
            <w:tcW w:type="dxa" w:w="242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Neurčeno</w:t>
            </w:r>
          </w:p>
        </w:tc>
      </w:tr>
      <w:tr>
        <w:trPr>
          <w:cantSplit/>
        </w:trPr>
        <w:tc>
          <w:tcPr>
            <w:tcW w:type="dxa" w:w="229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Testování a akceptace</w:t>
            </w:r>
          </w:p>
        </w:tc>
        <w:tc>
          <w:tcPr>
            <w:tcW w:type="dxa" w:w="206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</w:t>
            </w:r>
          </w:p>
        </w:tc>
        <w:tc>
          <w:tcPr>
            <w:tcW w:type="dxa" w:w="274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Rozsah testování a podmínky akceptace nebyly dodány</w:t>
            </w:r>
          </w:p>
        </w:tc>
        <w:tc>
          <w:tcPr>
            <w:tcW w:type="dxa" w:w="260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Vyžadován je akceptační rámec projektu</w:t>
            </w:r>
          </w:p>
        </w:tc>
        <w:tc>
          <w:tcPr>
            <w:tcW w:type="dxa" w:w="243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</w:t>
            </w:r>
          </w:p>
        </w:tc>
        <w:tc>
          <w:tcPr>
            <w:tcW w:type="dxa" w:w="242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Neurčeno</w:t>
            </w:r>
          </w:p>
        </w:tc>
      </w:tr>
      <w:tr>
        <w:trPr>
          <w:cantSplit/>
        </w:trPr>
        <w:tc>
          <w:tcPr>
            <w:tcW w:type="dxa" w:w="229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Provoz po migraci</w:t>
            </w:r>
          </w:p>
        </w:tc>
        <w:tc>
          <w:tcPr>
            <w:tcW w:type="dxa" w:w="206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</w:t>
            </w:r>
          </w:p>
        </w:tc>
        <w:tc>
          <w:tcPr>
            <w:tcW w:type="dxa" w:w="274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Odpovědnost za následný provoz a podporu nebyla dodána</w:t>
            </w:r>
          </w:p>
        </w:tc>
        <w:tc>
          <w:tcPr>
            <w:tcW w:type="dxa" w:w="260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Vyžadováno je provozní a organizační vymezení</w:t>
            </w:r>
          </w:p>
        </w:tc>
        <w:tc>
          <w:tcPr>
            <w:tcW w:type="dxa" w:w="243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</w:t>
            </w:r>
          </w:p>
        </w:tc>
        <w:tc>
          <w:tcPr>
            <w:tcW w:type="dxa" w:w="242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Neurčeno</w:t>
            </w:r>
          </w:p>
        </w:tc>
      </w:tr>
      <w:tr>
        <w:trPr>
          <w:cantSplit/>
        </w:trPr>
        <w:tc>
          <w:tcPr>
            <w:tcW w:type="dxa" w:w="229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Položky mimo rozsah</w:t>
            </w:r>
          </w:p>
        </w:tc>
        <w:tc>
          <w:tcPr>
            <w:tcW w:type="dxa" w:w="206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</w:t>
            </w:r>
          </w:p>
        </w:tc>
        <w:tc>
          <w:tcPr>
            <w:tcW w:type="dxa" w:w="274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Výslovně vyloučené činnosti a produkty nebyly specifikovány</w:t>
            </w:r>
          </w:p>
        </w:tc>
        <w:tc>
          <w:tcPr>
            <w:tcW w:type="dxa" w:w="260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Vyžadováno je rozhodnutí o výjimkách z rozsahu</w:t>
            </w:r>
          </w:p>
        </w:tc>
        <w:tc>
          <w:tcPr>
            <w:tcW w:type="dxa" w:w="243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</w:t>
            </w:r>
          </w:p>
        </w:tc>
        <w:tc>
          <w:tcPr>
            <w:tcW w:type="dxa" w:w="242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Neurčeno</w:t>
            </w:r>
          </w:p>
        </w:tc>
      </w:tr>
      <w:tr>
        <w:trPr>
          <w:cantSplit/>
        </w:trPr>
        <w:tc>
          <w:tcPr>
            <w:tcW w:type="dxa" w:w="229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Změny rozsahu</w:t>
            </w:r>
          </w:p>
        </w:tc>
        <w:tc>
          <w:tcPr>
            <w:tcW w:type="dxa" w:w="206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</w:t>
            </w:r>
          </w:p>
        </w:tc>
        <w:tc>
          <w:tcPr>
            <w:tcW w:type="dxa" w:w="274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Autorita pro schvalování změn nebyla určena</w:t>
            </w:r>
          </w:p>
        </w:tc>
        <w:tc>
          <w:tcPr>
            <w:tcW w:type="dxa" w:w="260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Vyžadována je schválená governance a eskalační pravidla</w:t>
            </w:r>
          </w:p>
        </w:tc>
        <w:tc>
          <w:tcPr>
            <w:tcW w:type="dxa" w:w="243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</w:t>
            </w:r>
          </w:p>
        </w:tc>
        <w:tc>
          <w:tcPr>
            <w:tcW w:type="dxa" w:w="242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Neurčeno</w:t>
            </w:r>
          </w:p>
        </w:tc>
      </w:tr>
    </w:tbl>
    <w:p>
      <w:pPr>
        <w:spacing w:after="120"/>
      </w:pP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Zahrnutí dalších komponent, rozhraní, dat, bezpečnostních činností, licencí, provozní podpory a odstavení vlastních serverů nelze odvodit z dodaného zadání. Tyto položky jsou TBD — vyžadován je schválený rozsah a seznam výluk.</w:t>
      </w:r>
    </w:p>
    <w:p>
      <w:pPr>
        <w:keepNext/>
        <w:spacing w:after="160" w:before="400"/>
      </w:pPr>
      <w:r>
        <w:rPr>
          <w:b/>
          <w:bCs/>
          <w:i w:val="false"/>
          <w:iCs w:val="false"/>
          <w:color w:val="1F232B"/>
          <w:sz w:val="30"/>
          <w:szCs w:val="30"/>
        </w:rPr>
        <w:t xml:space="preserve">Klíčové výstupy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Migrace firemního webu do cloudu — podmínky akceptace, odpovědný vlastník, závislosti a cílový milník jsou TBD; vyžadováno je schválené zadání výstupu.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Migrace zákaznického portálu do cloudu — podmínky akceptace, odpovědný vlastník, závislosti a cílový milník jsou TBD; vyžadováno je schválené zadání výstupu.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Výstup související s připraveností cloudového prostředí — konkrétní obsah, akceptace a vlastník jsou TBD; vyžadován je schválený technický rozsah.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Testovací a akceptační výstupy — TBD; vyžadován je schválený testovací a akceptační plán.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 w:val="false"/>
          <w:bCs w:val="false"/>
          <w:i w:val="false"/>
          <w:iCs w:val="false"/>
        </w:rPr>
        <w:t xml:space="preserve">Provozní předání a dokumentace — TBD; vyžadováno je rozhodnutí o požadovaném provozním předání.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Výstupy nejsou totožné s činnostmi týmu ani s očekávanými přínosy. Aktivity, detailní technické produkty a výstupy mimo výše uvedený předběžný rámec jsou TBD — vyžadován je schválený seznam výstupů.</w:t>
      </w:r>
    </w:p>
    <w:p>
      <w:pPr>
        <w:keepNext/>
        <w:spacing w:after="160" w:before="400"/>
      </w:pPr>
      <w:r>
        <w:rPr>
          <w:b/>
          <w:bCs/>
          <w:i w:val="false"/>
          <w:iCs w:val="false"/>
          <w:color w:val="1F232B"/>
          <w:sz w:val="30"/>
          <w:szCs w:val="30"/>
        </w:rPr>
        <w:t xml:space="preserve">Zainteresované strany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IT ředitel</w:t>
      </w:r>
      <w:r>
        <w:rPr>
          <w:b w:val="false"/>
          <w:bCs w:val="false"/>
          <w:i w:val="false"/>
          <w:iCs w:val="false"/>
        </w:rPr>
        <w:t xml:space="preserve"> — uvedený sponzor projektu. Konkrétní rozhodovací pravomoc, schvalovací odpovědnosti a požadavky na reporting jsou TBD — vyžadováno je potvrzení mandátu sponzora.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Projektový manažer</w:t>
      </w:r>
      <w:r>
        <w:rPr>
          <w:b w:val="false"/>
          <w:bCs w:val="false"/>
          <w:i w:val="false"/>
          <w:iCs w:val="false"/>
        </w:rPr>
        <w:t xml:space="preserve"> — uvedený člen týmu. Odpovědnosti za řízení rozsahu, harmonogramu, rozpočtu, rizik a komunikace jsou TBD — vyžadováno je formální přiřazení role.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Dva vývojáři</w:t>
      </w:r>
      <w:r>
        <w:rPr>
          <w:b w:val="false"/>
          <w:bCs w:val="false"/>
          <w:i w:val="false"/>
          <w:iCs w:val="false"/>
        </w:rPr>
        <w:t xml:space="preserve"> — uvedení členové týmu. Konkrétní odpovědnosti za migraci, testování, integrace a předání jsou TBD — vyžadováno je rozdělení práce.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Externí dodavatel cloudu</w:t>
      </w:r>
      <w:r>
        <w:rPr>
          <w:b w:val="false"/>
          <w:bCs w:val="false"/>
          <w:i w:val="false"/>
          <w:iCs w:val="false"/>
        </w:rPr>
        <w:t xml:space="preserve"> — uvedený člen realizačního týmu. Rozsah odpovědnosti, smluvní závazky, předávky a eskalační cesta jsou TBD — vyžadováno je dodavatelské zadání nebo smluvní podklad.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/>
          <w:bCs/>
          <w:i w:val="false"/>
          <w:iCs w:val="false"/>
        </w:rPr>
        <w:t xml:space="preserve">Vlastník firemního webu, vlastník zákaznického portálu, zákazníci, provozní týmy a další dotčené skupiny</w:t>
      </w:r>
      <w:r>
        <w:rPr>
          <w:b w:val="false"/>
          <w:bCs w:val="false"/>
          <w:i w:val="false"/>
          <w:iCs w:val="false"/>
        </w:rPr>
        <w:t xml:space="preserve"> — jejich identita, zájmy, dopad projektu, autorita a potřeby konzultace jsou TBD — vyžadována je stakeholder analýza.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Souhlas zainteresovaných stran, požadavky na komunikaci a odpovědnosti za schválení výstupů nebyly dodány. Tyto informace jsou TBD — vyžadován je schválený registr zainteresovaných stran.</w:t>
      </w:r>
    </w:p>
    <w:p>
      <w:pPr>
        <w:keepNext/>
        <w:spacing w:after="160" w:before="400"/>
      </w:pPr>
      <w:r>
        <w:rPr>
          <w:b/>
          <w:bCs/>
          <w:i w:val="false"/>
          <w:iCs w:val="false"/>
          <w:color w:val="1F232B"/>
          <w:sz w:val="30"/>
          <w:szCs w:val="30"/>
        </w:rPr>
        <w:t xml:space="preserve">Organizace a řízení projektu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771"/>
        <w:gridCol w:w="3113"/>
        <w:gridCol w:w="3098"/>
        <w:gridCol w:w="2883"/>
        <w:gridCol w:w="2705"/>
      </w:tblGrid>
      <w:tr>
        <w:trPr>
          <w:cantSplit/>
          <w:tblHeader/>
        </w:trPr>
        <w:tc>
          <w:tcPr>
            <w:tcW w:type="dxa" w:w="277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Role</w:t>
            </w:r>
          </w:p>
        </w:tc>
        <w:tc>
          <w:tcPr>
            <w:tcW w:type="dxa" w:w="311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Odpovědnost</w:t>
            </w:r>
          </w:p>
        </w:tc>
        <w:tc>
          <w:tcPr>
            <w:tcW w:type="dxa" w:w="309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Pravomoc</w:t>
            </w:r>
          </w:p>
        </w:tc>
        <w:tc>
          <w:tcPr>
            <w:tcW w:type="dxa" w:w="288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Předání</w:t>
            </w:r>
          </w:p>
        </w:tc>
        <w:tc>
          <w:tcPr>
            <w:tcW w:type="dxa" w:w="270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Důkazy</w:t>
            </w:r>
          </w:p>
        </w:tc>
      </w:tr>
      <w:tr>
        <w:trPr>
          <w:cantSplit/>
        </w:trPr>
        <w:tc>
          <w:tcPr>
            <w:tcW w:type="dxa" w:w="277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Sponzor projektu — IT ředitel</w:t>
            </w:r>
          </w:p>
        </w:tc>
        <w:tc>
          <w:tcPr>
            <w:tcW w:type="dxa" w:w="311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vyžadováno formální vymezení odpovědnosti</w:t>
            </w:r>
          </w:p>
        </w:tc>
        <w:tc>
          <w:tcPr>
            <w:tcW w:type="dxa" w:w="309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vyžadováno potvrzení rozhodovacích pravomocí</w:t>
            </w:r>
          </w:p>
        </w:tc>
        <w:tc>
          <w:tcPr>
            <w:tcW w:type="dxa" w:w="288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vyžadována eskalační a schvalovací pravidla</w:t>
            </w:r>
          </w:p>
        </w:tc>
        <w:tc>
          <w:tcPr>
            <w:tcW w:type="dxa" w:w="270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Sponzor je uveden v projektovém zadání</w:t>
            </w:r>
          </w:p>
        </w:tc>
      </w:tr>
      <w:tr>
        <w:trPr>
          <w:cantSplit/>
        </w:trPr>
        <w:tc>
          <w:tcPr>
            <w:tcW w:type="dxa" w:w="277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Projektový manažer</w:t>
            </w:r>
          </w:p>
        </w:tc>
        <w:tc>
          <w:tcPr>
            <w:tcW w:type="dxa" w:w="311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vyžadováno formální přiřazení role</w:t>
            </w:r>
          </w:p>
        </w:tc>
        <w:tc>
          <w:tcPr>
            <w:tcW w:type="dxa" w:w="309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vyžadováno vymezení limitů řízení</w:t>
            </w:r>
          </w:p>
        </w:tc>
        <w:tc>
          <w:tcPr>
            <w:tcW w:type="dxa" w:w="288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vyžadován schválený způsob reportingu</w:t>
            </w:r>
          </w:p>
        </w:tc>
        <w:tc>
          <w:tcPr>
            <w:tcW w:type="dxa" w:w="270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Role je uvedena ve složení týmu</w:t>
            </w:r>
          </w:p>
        </w:tc>
      </w:tr>
      <w:tr>
        <w:trPr>
          <w:cantSplit/>
        </w:trPr>
        <w:tc>
          <w:tcPr>
            <w:tcW w:type="dxa" w:w="277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Vývojáři</w:t>
            </w:r>
          </w:p>
        </w:tc>
        <w:tc>
          <w:tcPr>
            <w:tcW w:type="dxa" w:w="311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vyžadováno rozdělení technických odpovědností</w:t>
            </w:r>
          </w:p>
        </w:tc>
        <w:tc>
          <w:tcPr>
            <w:tcW w:type="dxa" w:w="309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vyžadováno vymezení pravomocí</w:t>
            </w:r>
          </w:p>
        </w:tc>
        <w:tc>
          <w:tcPr>
            <w:tcW w:type="dxa" w:w="288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vyžadována definice předání výstupů</w:t>
            </w:r>
          </w:p>
        </w:tc>
        <w:tc>
          <w:tcPr>
            <w:tcW w:type="dxa" w:w="270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Počet členů týmu je uveden v zadání</w:t>
            </w:r>
          </w:p>
        </w:tc>
      </w:tr>
      <w:tr>
        <w:trPr>
          <w:cantSplit/>
        </w:trPr>
        <w:tc>
          <w:tcPr>
            <w:tcW w:type="dxa" w:w="277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Externí dodavatel cloudu</w:t>
            </w:r>
          </w:p>
        </w:tc>
        <w:tc>
          <w:tcPr>
            <w:tcW w:type="dxa" w:w="311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vyžadován rozsah dodávky a odpovědnosti</w:t>
            </w:r>
          </w:p>
        </w:tc>
        <w:tc>
          <w:tcPr>
            <w:tcW w:type="dxa" w:w="309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vyžadováno smluvní a technické vymezení</w:t>
            </w:r>
          </w:p>
        </w:tc>
        <w:tc>
          <w:tcPr>
            <w:tcW w:type="dxa" w:w="288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vyžadovány předávací a eskalační postupy</w:t>
            </w:r>
          </w:p>
        </w:tc>
        <w:tc>
          <w:tcPr>
            <w:tcW w:type="dxa" w:w="270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Dodavatel je uveden ve složení týmu</w:t>
            </w:r>
          </w:p>
        </w:tc>
      </w:tr>
      <w:tr>
        <w:trPr>
          <w:cantSplit/>
        </w:trPr>
        <w:tc>
          <w:tcPr>
            <w:tcW w:type="dxa" w:w="277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Řídicí nebo schvalovací orgán</w:t>
            </w:r>
          </w:p>
        </w:tc>
        <w:tc>
          <w:tcPr>
            <w:tcW w:type="dxa" w:w="311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nebyl identifikován</w:t>
            </w:r>
          </w:p>
        </w:tc>
        <w:tc>
          <w:tcPr>
            <w:tcW w:type="dxa" w:w="309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nebyla určena autorita</w:t>
            </w:r>
          </w:p>
        </w:tc>
        <w:tc>
          <w:tcPr>
            <w:tcW w:type="dxa" w:w="288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vyžadován governance model</w:t>
            </w:r>
          </w:p>
        </w:tc>
        <w:tc>
          <w:tcPr>
            <w:tcW w:type="dxa" w:w="270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Nebyl dodán důkaz o ustanovení orgánu</w:t>
            </w:r>
          </w:p>
        </w:tc>
      </w:tr>
      <w:tr>
        <w:trPr>
          <w:cantSplit/>
        </w:trPr>
        <w:tc>
          <w:tcPr>
            <w:tcW w:type="dxa" w:w="277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Zajištění kvality nebo nezávislé posouzení</w:t>
            </w:r>
          </w:p>
        </w:tc>
        <w:tc>
          <w:tcPr>
            <w:tcW w:type="dxa" w:w="311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nebylo specifikováno</w:t>
            </w:r>
          </w:p>
        </w:tc>
        <w:tc>
          <w:tcPr>
            <w:tcW w:type="dxa" w:w="309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</w:t>
            </w:r>
          </w:p>
        </w:tc>
        <w:tc>
          <w:tcPr>
            <w:tcW w:type="dxa" w:w="288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</w:t>
            </w:r>
          </w:p>
        </w:tc>
        <w:tc>
          <w:tcPr>
            <w:tcW w:type="dxa" w:w="270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Nebyl dodán příslušný podklad</w:t>
            </w:r>
          </w:p>
        </w:tc>
      </w:tr>
    </w:tbl>
    <w:p>
      <w:pPr>
        <w:spacing w:after="120"/>
      </w:pP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Rozhodovací práva, limity pravomocí, eskalační trasy, schvalovací orgán a důkazy o formálním přiřazení rolí jsou TBD — vyžadován je schválený governance model.</w:t>
      </w:r>
    </w:p>
    <w:p>
      <w:pPr>
        <w:keepNext/>
        <w:spacing w:after="160" w:before="400"/>
      </w:pPr>
      <w:r>
        <w:rPr>
          <w:b/>
          <w:bCs/>
          <w:i w:val="false"/>
          <w:iCs w:val="false"/>
          <w:color w:val="1F232B"/>
          <w:sz w:val="30"/>
          <w:szCs w:val="30"/>
        </w:rPr>
        <w:t xml:space="preserve">Předpoklady a omezení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Předpoklad:</w:t>
      </w:r>
      <w:r>
        <w:rPr>
          <w:b w:val="false"/>
          <w:bCs w:val="false"/>
          <w:i w:val="false"/>
          <w:iCs w:val="false"/>
        </w:rPr>
        <w:t xml:space="preserve"> Projekt se týká firemního webu a zákaznického portálu. Základ: dodané projektové zadání. Vlastník: TBD — vyžadováno potvrzení. Ověření: při schválení rozsahu. Dopad při neplatnosti: změna rozsahu a rozpočtu.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Předpoklad:</w:t>
      </w:r>
      <w:r>
        <w:rPr>
          <w:b w:val="false"/>
          <w:bCs w:val="false"/>
          <w:i w:val="false"/>
          <w:iCs w:val="false"/>
        </w:rPr>
        <w:t xml:space="preserve"> Projekt má trvat 4 měsíce. Základ: dodané projektové zadání. Vlastník: TBD — vyžadováno potvrzení. Ověření: při schválení harmonogramu. Dopad při neplatnosti: změna milníků, kapacit a rozpočtu.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Předpoklad:</w:t>
      </w:r>
      <w:r>
        <w:rPr>
          <w:b w:val="false"/>
          <w:bCs w:val="false"/>
          <w:i w:val="false"/>
          <w:iCs w:val="false"/>
        </w:rPr>
        <w:t xml:space="preserve"> Rozpočet projektu činí 45 000 €. Není potvrzeno, zda jde o odhad nebo autorizovaný rozpočet. Vlastník: IT ředitel nebo jiná schválená autorita TBD — vyžadováno potvrzení. Ověření: při finančním schválení. Dopad při neplatnosti: projekt nelze autorizovat v současné podobě.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Omezení:</w:t>
      </w:r>
      <w:r>
        <w:rPr>
          <w:b w:val="false"/>
          <w:bCs w:val="false"/>
          <w:i w:val="false"/>
          <w:iCs w:val="false"/>
        </w:rPr>
        <w:t xml:space="preserve"> Dostupný tým tvoří projektový manažer, dva vývojáři a externí dodavatel cloudu. Kapacity, dostupnost a časové závazky nejsou známy — vyžadováno je kapacitní potvrzení.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Omezení:</w:t>
      </w:r>
      <w:r>
        <w:rPr>
          <w:b w:val="false"/>
          <w:bCs w:val="false"/>
          <w:i w:val="false"/>
          <w:iCs w:val="false"/>
        </w:rPr>
        <w:t xml:space="preserve"> Sponzorem je IT ředitel. Rozsah jeho pravomoci a dostupnost pro rozhodování nejsou specifikovány — vyžadováno je potvrzení mandátu.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/>
          <w:bCs/>
          <w:i w:val="false"/>
          <w:iCs w:val="false"/>
        </w:rPr>
        <w:t xml:space="preserve">TBD:</w:t>
      </w:r>
      <w:r>
        <w:rPr>
          <w:b w:val="false"/>
          <w:bCs w:val="false"/>
          <w:i w:val="false"/>
          <w:iCs w:val="false"/>
        </w:rPr>
        <w:t xml:space="preserve"> Technické, bezpečnostní, regulatorní, smluvní a provozní omezení — vyžadován je schválený seznam omezení a závislostí.</w:t>
      </w:r>
    </w:p>
    <w:p>
      <w:pPr>
        <w:keepNext/>
        <w:spacing w:after="160" w:before="400"/>
      </w:pPr>
      <w:r>
        <w:rPr>
          <w:b/>
          <w:bCs/>
          <w:i w:val="false"/>
          <w:iCs w:val="false"/>
          <w:color w:val="1F232B"/>
          <w:sz w:val="30"/>
          <w:szCs w:val="30"/>
        </w:rPr>
        <w:t xml:space="preserve">Zdroje a rozpočet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Uvedený rozpočtový údaj:</w:t>
      </w:r>
      <w:r>
        <w:rPr>
          <w:b w:val="false"/>
          <w:bCs w:val="false"/>
          <w:i w:val="false"/>
          <w:iCs w:val="false"/>
        </w:rPr>
        <w:t xml:space="preserve"> 45 000 €. Není potvrzeno, zda jde o odhad, požadované financování, nebo autorizovaný rozpočet — vyžadováno je finanční schválení.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Měna:</w:t>
      </w:r>
      <w:r>
        <w:rPr>
          <w:b w:val="false"/>
          <w:bCs w:val="false"/>
          <w:i w:val="false"/>
          <w:iCs w:val="false"/>
        </w:rPr>
        <w:t xml:space="preserve"> €; konkrétní měnové podmínky, zahrnuté náklady a případné daně nejsou specifikovány — vyžadován je rozpočtový podklad.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Personální zdroje:</w:t>
      </w:r>
      <w:r>
        <w:rPr>
          <w:b w:val="false"/>
          <w:bCs w:val="false"/>
          <w:i w:val="false"/>
          <w:iCs w:val="false"/>
        </w:rPr>
        <w:t xml:space="preserve"> projektový manažer, dva vývojáři a externí dodavatel cloudu. Úvazky, kapacita, dostupnost a nákladové sazby jsou TBD — vyžadováno je kapacitní a finanční potvrzení.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Doba čerpání:</w:t>
      </w:r>
      <w:r>
        <w:rPr>
          <w:b w:val="false"/>
          <w:bCs w:val="false"/>
          <w:i w:val="false"/>
          <w:iCs w:val="false"/>
        </w:rPr>
        <w:t xml:space="preserve"> předpokládané období 4 měsíců. Vazba mezi čerpáním zdrojů a milníky je TBD — vyžadován je schválený harmonogram.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Zdroj financování:</w:t>
      </w:r>
      <w:r>
        <w:rPr>
          <w:b w:val="false"/>
          <w:bCs w:val="false"/>
          <w:i w:val="false"/>
          <w:iCs w:val="false"/>
        </w:rPr>
        <w:t xml:space="preserve"> TBD — vyžadováno je potvrzení financující organizační jednotky nebo rozpočtového zdroje.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Schválené limity:</w:t>
      </w:r>
      <w:r>
        <w:rPr>
          <w:b w:val="false"/>
          <w:bCs w:val="false"/>
          <w:i w:val="false"/>
          <w:iCs w:val="false"/>
        </w:rPr>
        <w:t xml:space="preserve"> TBD — vyžadováno je potvrzení limitů rozpočtu, kapacit, změn a nákupů.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/>
          <w:bCs/>
          <w:i w:val="false"/>
          <w:iCs w:val="false"/>
        </w:rPr>
        <w:t xml:space="preserve">Nákladové předpoklady:</w:t>
      </w:r>
      <w:r>
        <w:rPr>
          <w:b w:val="false"/>
          <w:bCs w:val="false"/>
          <w:i w:val="false"/>
          <w:iCs w:val="false"/>
        </w:rPr>
        <w:t xml:space="preserve"> Náklady na cloudové služby, licence, migraci dat, testování, případné odstavení vlastních serverů a provozní podporu nebyly dodány — vyžadován je úplný odhad nákladů.</w:t>
      </w:r>
    </w:p>
    <w:p>
      <w:pPr>
        <w:keepNext/>
        <w:spacing w:after="160" w:before="400"/>
      </w:pPr>
      <w:r>
        <w:rPr>
          <w:b/>
          <w:bCs/>
          <w:i w:val="false"/>
          <w:iCs w:val="false"/>
          <w:color w:val="1F232B"/>
          <w:sz w:val="30"/>
          <w:szCs w:val="30"/>
        </w:rPr>
        <w:t xml:space="preserve">Hlavní rizika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52"/>
        <w:gridCol w:w="2080"/>
        <w:gridCol w:w="2187"/>
        <w:gridCol w:w="1943"/>
        <w:gridCol w:w="2093"/>
        <w:gridCol w:w="1693"/>
        <w:gridCol w:w="2293"/>
        <w:gridCol w:w="1229"/>
      </w:tblGrid>
      <w:tr>
        <w:trPr>
          <w:cantSplit/>
          <w:tblHeader/>
        </w:trPr>
        <w:tc>
          <w:tcPr>
            <w:tcW w:type="dxa" w:w="105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ID rizika</w:t>
            </w:r>
          </w:p>
        </w:tc>
        <w:tc>
          <w:tcPr>
            <w:tcW w:type="dxa" w:w="208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Příčina</w:t>
            </w:r>
          </w:p>
        </w:tc>
        <w:tc>
          <w:tcPr>
            <w:tcW w:type="dxa" w:w="218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Riziková událost</w:t>
            </w:r>
          </w:p>
        </w:tc>
        <w:tc>
          <w:tcPr>
            <w:tcW w:type="dxa" w:w="194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Důsledek</w:t>
            </w:r>
          </w:p>
        </w:tc>
        <w:tc>
          <w:tcPr>
            <w:tcW w:type="dxa" w:w="209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Pravděpodobnost</w:t>
            </w:r>
          </w:p>
        </w:tc>
        <w:tc>
          <w:tcPr>
            <w:tcW w:type="dxa" w:w="169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Dopad</w:t>
            </w:r>
          </w:p>
        </w:tc>
        <w:tc>
          <w:tcPr>
            <w:tcW w:type="dxa" w:w="229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Reakce</w:t>
            </w:r>
          </w:p>
        </w:tc>
        <w:tc>
          <w:tcPr>
            <w:tcW w:type="dxa" w:w="122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Vlastník</w:t>
            </w:r>
          </w:p>
        </w:tc>
      </w:tr>
      <w:tr>
        <w:trPr>
          <w:cantSplit/>
        </w:trPr>
        <w:tc>
          <w:tcPr>
            <w:tcW w:type="dxa" w:w="105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R-001</w:t>
            </w:r>
          </w:p>
        </w:tc>
        <w:tc>
          <w:tcPr>
            <w:tcW w:type="dxa" w:w="208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Nebyl dodán detailní rozsah ani technické zadání</w:t>
            </w:r>
          </w:p>
        </w:tc>
        <w:tc>
          <w:tcPr>
            <w:tcW w:type="dxa" w:w="218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Rozsah migrace bude během projektu nejasný nebo se změní</w:t>
            </w:r>
          </w:p>
        </w:tc>
        <w:tc>
          <w:tcPr>
            <w:tcW w:type="dxa" w:w="194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Dopad na harmonogram, rozpočet a akceptaci</w:t>
            </w:r>
          </w:p>
        </w:tc>
        <w:tc>
          <w:tcPr>
            <w:tcW w:type="dxa" w:w="209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vyžadováno hodnocení rizik</w:t>
            </w:r>
          </w:p>
        </w:tc>
        <w:tc>
          <w:tcPr>
            <w:tcW w:type="dxa" w:w="169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vyžadováno hodnocení rizik</w:t>
            </w:r>
          </w:p>
        </w:tc>
        <w:tc>
          <w:tcPr>
            <w:tcW w:type="dxa" w:w="229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Dokončit a schválit rozsah před zahájením realizace</w:t>
            </w:r>
          </w:p>
        </w:tc>
        <w:tc>
          <w:tcPr>
            <w:tcW w:type="dxa" w:w="122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</w:t>
            </w:r>
          </w:p>
        </w:tc>
      </w:tr>
      <w:tr>
        <w:trPr>
          <w:cantSplit/>
        </w:trPr>
        <w:tc>
          <w:tcPr>
            <w:tcW w:type="dxa" w:w="105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R-002</w:t>
            </w:r>
          </w:p>
        </w:tc>
        <w:tc>
          <w:tcPr>
            <w:tcW w:type="dxa" w:w="208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Kapacity a dostupnost týmu nejsou specifikovány</w:t>
            </w:r>
          </w:p>
        </w:tc>
        <w:tc>
          <w:tcPr>
            <w:tcW w:type="dxa" w:w="218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Tým nebude schopen dodat projekt v předpokládaných 4 měsících</w:t>
            </w:r>
          </w:p>
        </w:tc>
        <w:tc>
          <w:tcPr>
            <w:tcW w:type="dxa" w:w="194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Zpoždění nebo zvýšení nákladů</w:t>
            </w:r>
          </w:p>
        </w:tc>
        <w:tc>
          <w:tcPr>
            <w:tcW w:type="dxa" w:w="209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vyžadováno hodnocení kapacit</w:t>
            </w:r>
          </w:p>
        </w:tc>
        <w:tc>
          <w:tcPr>
            <w:tcW w:type="dxa" w:w="169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vyžadováno hodnocení dopadu</w:t>
            </w:r>
          </w:p>
        </w:tc>
        <w:tc>
          <w:tcPr>
            <w:tcW w:type="dxa" w:w="229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Potvrdit kapacity, odpovědnosti a dostupnost externího dodavatele</w:t>
            </w:r>
          </w:p>
        </w:tc>
        <w:tc>
          <w:tcPr>
            <w:tcW w:type="dxa" w:w="122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</w:t>
            </w:r>
          </w:p>
        </w:tc>
      </w:tr>
      <w:tr>
        <w:trPr>
          <w:cantSplit/>
        </w:trPr>
        <w:tc>
          <w:tcPr>
            <w:tcW w:type="dxa" w:w="105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R-003</w:t>
            </w:r>
          </w:p>
        </w:tc>
        <w:tc>
          <w:tcPr>
            <w:tcW w:type="dxa" w:w="208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Není potvrzeno, zda 45 000 € představuje autorizovaný rozpočet</w:t>
            </w:r>
          </w:p>
        </w:tc>
        <w:tc>
          <w:tcPr>
            <w:tcW w:type="dxa" w:w="218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Financování nebude dostačující nebo nebude formálně schválené</w:t>
            </w:r>
          </w:p>
        </w:tc>
        <w:tc>
          <w:tcPr>
            <w:tcW w:type="dxa" w:w="194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Zastavení, změna rozsahu nebo odklad projektu</w:t>
            </w:r>
          </w:p>
        </w:tc>
        <w:tc>
          <w:tcPr>
            <w:tcW w:type="dxa" w:w="209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vyžadováno finanční posouzení</w:t>
            </w:r>
          </w:p>
        </w:tc>
        <w:tc>
          <w:tcPr>
            <w:tcW w:type="dxa" w:w="169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vyžadováno finanční posouzení</w:t>
            </w:r>
          </w:p>
        </w:tc>
        <w:tc>
          <w:tcPr>
            <w:tcW w:type="dxa" w:w="229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Potvrdit rozpočtový rámec, zahrnuté náklady a schvalovací autoritu</w:t>
            </w:r>
          </w:p>
        </w:tc>
        <w:tc>
          <w:tcPr>
            <w:tcW w:type="dxa" w:w="122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</w:t>
            </w:r>
          </w:p>
        </w:tc>
      </w:tr>
      <w:tr>
        <w:trPr>
          <w:cantSplit/>
        </w:trPr>
        <w:tc>
          <w:tcPr>
            <w:tcW w:type="dxa" w:w="105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R-004</w:t>
            </w:r>
          </w:p>
        </w:tc>
        <w:tc>
          <w:tcPr>
            <w:tcW w:type="dxa" w:w="208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Nejsou stanoveny akceptační a provozní podmínky</w:t>
            </w:r>
          </w:p>
        </w:tc>
        <w:tc>
          <w:tcPr>
            <w:tcW w:type="dxa" w:w="218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Migrace nebude možné jednoznačně přijmout nebo předat do provozu</w:t>
            </w:r>
          </w:p>
        </w:tc>
        <w:tc>
          <w:tcPr>
            <w:tcW w:type="dxa" w:w="194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Nejasný výsledek projektu a zvýšené provozní riziko</w:t>
            </w:r>
          </w:p>
        </w:tc>
        <w:tc>
          <w:tcPr>
            <w:tcW w:type="dxa" w:w="209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vyžadováno odborné posouzení</w:t>
            </w:r>
          </w:p>
        </w:tc>
        <w:tc>
          <w:tcPr>
            <w:tcW w:type="dxa" w:w="169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vyžadováno odborné posouzení</w:t>
            </w:r>
          </w:p>
        </w:tc>
        <w:tc>
          <w:tcPr>
            <w:tcW w:type="dxa" w:w="229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Definovat testování, akceptaci, podporu a odpovědnosti po migraci</w:t>
            </w:r>
          </w:p>
        </w:tc>
        <w:tc>
          <w:tcPr>
            <w:tcW w:type="dxa" w:w="122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</w:t>
            </w:r>
          </w:p>
        </w:tc>
      </w:tr>
      <w:tr>
        <w:trPr>
          <w:cantSplit/>
        </w:trPr>
        <w:tc>
          <w:tcPr>
            <w:tcW w:type="dxa" w:w="105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R-005</w:t>
            </w:r>
          </w:p>
        </w:tc>
        <w:tc>
          <w:tcPr>
            <w:tcW w:type="dxa" w:w="208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Nejsou identifikovány všechny zainteresované strany</w:t>
            </w:r>
          </w:p>
        </w:tc>
        <w:tc>
          <w:tcPr>
            <w:tcW w:type="dxa" w:w="218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Klíčové požadavky nebo schválení nebudou včas získány</w:t>
            </w:r>
          </w:p>
        </w:tc>
        <w:tc>
          <w:tcPr>
            <w:tcW w:type="dxa" w:w="194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Přepracování, zpoždění nebo odpor k řešení</w:t>
            </w:r>
          </w:p>
        </w:tc>
        <w:tc>
          <w:tcPr>
            <w:tcW w:type="dxa" w:w="209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vyžadováno stakeholder posouzení</w:t>
            </w:r>
          </w:p>
        </w:tc>
        <w:tc>
          <w:tcPr>
            <w:tcW w:type="dxa" w:w="169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vyžadováno stakeholder posouzení</w:t>
            </w:r>
          </w:p>
        </w:tc>
        <w:tc>
          <w:tcPr>
            <w:tcW w:type="dxa" w:w="229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Zpracovat registr zainteresovaných stran a komunikační plán</w:t>
            </w:r>
          </w:p>
        </w:tc>
        <w:tc>
          <w:tcPr>
            <w:tcW w:type="dxa" w:w="122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</w:t>
            </w:r>
          </w:p>
        </w:tc>
      </w:tr>
    </w:tbl>
    <w:p>
      <w:pPr>
        <w:spacing w:after="120"/>
      </w:pP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Rizika vyžadující eskalaci ke sponzorovi, akceptovaná rizika a příležitosti nebyly výslovně identifikovány — vyžadován je schválený registr rizik.</w:t>
      </w:r>
    </w:p>
    <w:p>
      <w:pPr>
        <w:keepNext/>
        <w:spacing w:after="160" w:before="400"/>
      </w:pPr>
      <w:r>
        <w:rPr>
          <w:b/>
          <w:bCs/>
          <w:i w:val="false"/>
          <w:iCs w:val="false"/>
          <w:color w:val="1F232B"/>
          <w:sz w:val="30"/>
          <w:szCs w:val="30"/>
        </w:rPr>
        <w:t xml:space="preserve">Milníky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512"/>
        <w:gridCol w:w="2385"/>
        <w:gridCol w:w="2771"/>
        <w:gridCol w:w="2664"/>
        <w:gridCol w:w="2264"/>
        <w:gridCol w:w="1974"/>
      </w:tblGrid>
      <w:tr>
        <w:trPr>
          <w:cantSplit/>
          <w:tblHeader/>
        </w:trPr>
        <w:tc>
          <w:tcPr>
            <w:tcW w:type="dxa" w:w="251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Milník</w:t>
            </w:r>
          </w:p>
        </w:tc>
        <w:tc>
          <w:tcPr>
            <w:tcW w:type="dxa" w:w="238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Cílové datum</w:t>
            </w:r>
          </w:p>
        </w:tc>
        <w:tc>
          <w:tcPr>
            <w:tcW w:type="dxa" w:w="277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Závislost</w:t>
            </w:r>
          </w:p>
        </w:tc>
        <w:tc>
          <w:tcPr>
            <w:tcW w:type="dxa" w:w="266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Rozhodovací bod</w:t>
            </w:r>
          </w:p>
        </w:tc>
        <w:tc>
          <w:tcPr>
            <w:tcW w:type="dxa" w:w="226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Vlastník</w:t>
            </w:r>
          </w:p>
        </w:tc>
        <w:tc>
          <w:tcPr>
            <w:tcW w:type="dxa" w:w="197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Stav</w:t>
            </w:r>
          </w:p>
        </w:tc>
      </w:tr>
      <w:tr>
        <w:trPr>
          <w:cantSplit/>
        </w:trPr>
        <w:tc>
          <w:tcPr>
            <w:tcW w:type="dxa" w:w="251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Schválení projektové charty</w:t>
            </w:r>
          </w:p>
        </w:tc>
        <w:tc>
          <w:tcPr>
            <w:tcW w:type="dxa" w:w="238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vyžadován schválený harmonogram</w:t>
            </w:r>
          </w:p>
        </w:tc>
        <w:tc>
          <w:tcPr>
            <w:tcW w:type="dxa" w:w="277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Schválení účelu, rozsahu, rozpočtu a governance</w:t>
            </w:r>
          </w:p>
        </w:tc>
        <w:tc>
          <w:tcPr>
            <w:tcW w:type="dxa" w:w="266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Rozhodnutí o autorizaci projektu</w:t>
            </w:r>
          </w:p>
        </w:tc>
        <w:tc>
          <w:tcPr>
            <w:tcW w:type="dxa" w:w="226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IT ředitel nebo jiná schválená autorita TBD</w:t>
            </w:r>
          </w:p>
        </w:tc>
        <w:tc>
          <w:tcPr>
            <w:tcW w:type="dxa" w:w="197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Navrženo jako potřebný milník</w:t>
            </w:r>
          </w:p>
        </w:tc>
      </w:tr>
      <w:tr>
        <w:trPr>
          <w:cantSplit/>
        </w:trPr>
        <w:tc>
          <w:tcPr>
            <w:tcW w:type="dxa" w:w="251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Dokončení přípravy cloudového prostředí</w:t>
            </w:r>
          </w:p>
        </w:tc>
        <w:tc>
          <w:tcPr>
            <w:tcW w:type="dxa" w:w="238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vyžadován technický harmonogram</w:t>
            </w:r>
          </w:p>
        </w:tc>
        <w:tc>
          <w:tcPr>
            <w:tcW w:type="dxa" w:w="277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Technické zadání a dostupnost externího dodavatele</w:t>
            </w:r>
          </w:p>
        </w:tc>
        <w:tc>
          <w:tcPr>
            <w:tcW w:type="dxa" w:w="266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vyžadováno rozhodnutí o připravenosti</w:t>
            </w:r>
          </w:p>
        </w:tc>
        <w:tc>
          <w:tcPr>
            <w:tcW w:type="dxa" w:w="226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</w:t>
            </w:r>
          </w:p>
        </w:tc>
        <w:tc>
          <w:tcPr>
            <w:tcW w:type="dxa" w:w="197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Neurčeno</w:t>
            </w:r>
          </w:p>
        </w:tc>
      </w:tr>
      <w:tr>
        <w:trPr>
          <w:cantSplit/>
        </w:trPr>
        <w:tc>
          <w:tcPr>
            <w:tcW w:type="dxa" w:w="251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Migrace firemního webu</w:t>
            </w:r>
          </w:p>
        </w:tc>
        <w:tc>
          <w:tcPr>
            <w:tcW w:type="dxa" w:w="238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vyžadován schválený harmonogram</w:t>
            </w:r>
          </w:p>
        </w:tc>
        <w:tc>
          <w:tcPr>
            <w:tcW w:type="dxa" w:w="277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Připravenost cloudového prostředí a schválený migrační postup</w:t>
            </w:r>
          </w:p>
        </w:tc>
        <w:tc>
          <w:tcPr>
            <w:tcW w:type="dxa" w:w="266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vyžadováno akceptační rozhodnutí</w:t>
            </w:r>
          </w:p>
        </w:tc>
        <w:tc>
          <w:tcPr>
            <w:tcW w:type="dxa" w:w="226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</w:t>
            </w:r>
          </w:p>
        </w:tc>
        <w:tc>
          <w:tcPr>
            <w:tcW w:type="dxa" w:w="197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Neurčeno</w:t>
            </w:r>
          </w:p>
        </w:tc>
      </w:tr>
      <w:tr>
        <w:trPr>
          <w:cantSplit/>
        </w:trPr>
        <w:tc>
          <w:tcPr>
            <w:tcW w:type="dxa" w:w="251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Migrace zákaznického portálu</w:t>
            </w:r>
          </w:p>
        </w:tc>
        <w:tc>
          <w:tcPr>
            <w:tcW w:type="dxa" w:w="238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vyžadován schválený harmonogram</w:t>
            </w:r>
          </w:p>
        </w:tc>
        <w:tc>
          <w:tcPr>
            <w:tcW w:type="dxa" w:w="277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Připravenost cloudového prostředí a schválený migrační postup</w:t>
            </w:r>
          </w:p>
        </w:tc>
        <w:tc>
          <w:tcPr>
            <w:tcW w:type="dxa" w:w="266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vyžadováno akceptační rozhodnutí</w:t>
            </w:r>
          </w:p>
        </w:tc>
        <w:tc>
          <w:tcPr>
            <w:tcW w:type="dxa" w:w="226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</w:t>
            </w:r>
          </w:p>
        </w:tc>
        <w:tc>
          <w:tcPr>
            <w:tcW w:type="dxa" w:w="197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Neurčeno</w:t>
            </w:r>
          </w:p>
        </w:tc>
      </w:tr>
      <w:tr>
        <w:trPr>
          <w:cantSplit/>
        </w:trPr>
        <w:tc>
          <w:tcPr>
            <w:tcW w:type="dxa" w:w="251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Testování a akceptace</w:t>
            </w:r>
          </w:p>
        </w:tc>
        <w:tc>
          <w:tcPr>
            <w:tcW w:type="dxa" w:w="238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vyžadován schválený harmonogram</w:t>
            </w:r>
          </w:p>
        </w:tc>
        <w:tc>
          <w:tcPr>
            <w:tcW w:type="dxa" w:w="277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Dostupnost migrovaných systémů a schválená kritéria</w:t>
            </w:r>
          </w:p>
        </w:tc>
        <w:tc>
          <w:tcPr>
            <w:tcW w:type="dxa" w:w="266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vyžadována schvalovací autorita</w:t>
            </w:r>
          </w:p>
        </w:tc>
        <w:tc>
          <w:tcPr>
            <w:tcW w:type="dxa" w:w="226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</w:t>
            </w:r>
          </w:p>
        </w:tc>
        <w:tc>
          <w:tcPr>
            <w:tcW w:type="dxa" w:w="197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Neurčeno</w:t>
            </w:r>
          </w:p>
        </w:tc>
      </w:tr>
      <w:tr>
        <w:trPr>
          <w:cantSplit/>
        </w:trPr>
        <w:tc>
          <w:tcPr>
            <w:tcW w:type="dxa" w:w="251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Provozní předání a uzavření projektu</w:t>
            </w:r>
          </w:p>
        </w:tc>
        <w:tc>
          <w:tcPr>
            <w:tcW w:type="dxa" w:w="238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vyžadován schválený harmonogram</w:t>
            </w:r>
          </w:p>
        </w:tc>
        <w:tc>
          <w:tcPr>
            <w:tcW w:type="dxa" w:w="277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Akceptace, dokumentace a potvrzení provozní odpovědnosti</w:t>
            </w:r>
          </w:p>
        </w:tc>
        <w:tc>
          <w:tcPr>
            <w:tcW w:type="dxa" w:w="266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vyžadováno rozhodnutí o uzavření</w:t>
            </w:r>
          </w:p>
        </w:tc>
        <w:tc>
          <w:tcPr>
            <w:tcW w:type="dxa" w:w="226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</w:t>
            </w:r>
          </w:p>
        </w:tc>
        <w:tc>
          <w:tcPr>
            <w:tcW w:type="dxa" w:w="197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Neurčeno</w:t>
            </w:r>
          </w:p>
        </w:tc>
      </w:tr>
    </w:tbl>
    <w:p>
      <w:pPr>
        <w:spacing w:after="120"/>
      </w:pP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Celkové trvání projektu je v zadání uvedeno jako 4 měsíce, avšak konkrétní data, posloupnost milníků a jejich závaznost nejsou potvrzeny — vyžadován je schválený harmonogram.</w:t>
      </w:r>
    </w:p>
    <w:p>
      <w:pPr>
        <w:keepNext/>
        <w:spacing w:after="160" w:before="400"/>
      </w:pPr>
      <w:r>
        <w:rPr>
          <w:b/>
          <w:bCs/>
          <w:i w:val="false"/>
          <w:iCs w:val="false"/>
          <w:color w:val="1F232B"/>
          <w:sz w:val="30"/>
          <w:szCs w:val="30"/>
        </w:rPr>
        <w:t xml:space="preserve">Kritéria úspěchu a KPI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536"/>
        <w:gridCol w:w="2461"/>
        <w:gridCol w:w="2225"/>
        <w:gridCol w:w="2838"/>
        <w:gridCol w:w="1552"/>
        <w:gridCol w:w="1273"/>
        <w:gridCol w:w="1685"/>
      </w:tblGrid>
      <w:tr>
        <w:trPr>
          <w:cantSplit/>
          <w:tblHeader/>
        </w:trPr>
        <w:tc>
          <w:tcPr>
            <w:tcW w:type="dxa" w:w="253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Ukazatel</w:t>
            </w:r>
          </w:p>
        </w:tc>
        <w:tc>
          <w:tcPr>
            <w:tcW w:type="dxa" w:w="246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Definice</w:t>
            </w:r>
          </w:p>
        </w:tc>
        <w:tc>
          <w:tcPr>
            <w:tcW w:type="dxa" w:w="222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Výchozí stav</w:t>
            </w:r>
          </w:p>
        </w:tc>
        <w:tc>
          <w:tcPr>
            <w:tcW w:type="dxa" w:w="283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Cíl</w:t>
            </w:r>
          </w:p>
        </w:tc>
        <w:tc>
          <w:tcPr>
            <w:tcW w:type="dxa" w:w="155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Jednotka</w:t>
            </w:r>
          </w:p>
        </w:tc>
        <w:tc>
          <w:tcPr>
            <w:tcW w:type="dxa" w:w="127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Zdroj</w:t>
            </w:r>
          </w:p>
        </w:tc>
        <w:tc>
          <w:tcPr>
            <w:tcW w:type="dxa" w:w="168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Frekvence</w:t>
            </w:r>
          </w:p>
        </w:tc>
      </w:tr>
      <w:tr>
        <w:trPr>
          <w:cantSplit/>
        </w:trPr>
        <w:tc>
          <w:tcPr>
            <w:tcW w:type="dxa" w:w="253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Dokončení migrace firemního webu</w:t>
            </w:r>
          </w:p>
        </w:tc>
        <w:tc>
          <w:tcPr>
            <w:tcW w:type="dxa" w:w="246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vyžadována definice dokončení a akceptace</w:t>
            </w:r>
          </w:p>
        </w:tc>
        <w:tc>
          <w:tcPr>
            <w:tcW w:type="dxa" w:w="222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vyžadována výchozí hodnota</w:t>
            </w:r>
          </w:p>
        </w:tc>
        <w:tc>
          <w:tcPr>
            <w:tcW w:type="dxa" w:w="283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vyžadován schválený cíl</w:t>
            </w:r>
          </w:p>
        </w:tc>
        <w:tc>
          <w:tcPr>
            <w:tcW w:type="dxa" w:w="155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</w:t>
            </w:r>
          </w:p>
        </w:tc>
        <w:tc>
          <w:tcPr>
            <w:tcW w:type="dxa" w:w="127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</w:t>
            </w:r>
          </w:p>
        </w:tc>
        <w:tc>
          <w:tcPr>
            <w:tcW w:type="dxa" w:w="168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</w:t>
            </w:r>
          </w:p>
        </w:tc>
      </w:tr>
      <w:tr>
        <w:trPr>
          <w:cantSplit/>
        </w:trPr>
        <w:tc>
          <w:tcPr>
            <w:tcW w:type="dxa" w:w="253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Dokončení migrace zákaznického portálu</w:t>
            </w:r>
          </w:p>
        </w:tc>
        <w:tc>
          <w:tcPr>
            <w:tcW w:type="dxa" w:w="246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vyžadována definice dokončení a akceptace</w:t>
            </w:r>
          </w:p>
        </w:tc>
        <w:tc>
          <w:tcPr>
            <w:tcW w:type="dxa" w:w="222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vyžadována výchozí hodnota</w:t>
            </w:r>
          </w:p>
        </w:tc>
        <w:tc>
          <w:tcPr>
            <w:tcW w:type="dxa" w:w="283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vyžadován schválený cíl</w:t>
            </w:r>
          </w:p>
        </w:tc>
        <w:tc>
          <w:tcPr>
            <w:tcW w:type="dxa" w:w="155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</w:t>
            </w:r>
          </w:p>
        </w:tc>
        <w:tc>
          <w:tcPr>
            <w:tcW w:type="dxa" w:w="127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</w:t>
            </w:r>
          </w:p>
        </w:tc>
        <w:tc>
          <w:tcPr>
            <w:tcW w:type="dxa" w:w="168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</w:t>
            </w:r>
          </w:p>
        </w:tc>
      </w:tr>
      <w:tr>
        <w:trPr>
          <w:cantSplit/>
        </w:trPr>
        <w:tc>
          <w:tcPr>
            <w:tcW w:type="dxa" w:w="253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Dodržení harmonogramu</w:t>
            </w:r>
          </w:p>
        </w:tc>
        <w:tc>
          <w:tcPr>
            <w:tcW w:type="dxa" w:w="246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vyžadována definice měření</w:t>
            </w:r>
          </w:p>
        </w:tc>
        <w:tc>
          <w:tcPr>
            <w:tcW w:type="dxa" w:w="222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</w:t>
            </w:r>
          </w:p>
        </w:tc>
        <w:tc>
          <w:tcPr>
            <w:tcW w:type="dxa" w:w="283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vyžadována toleranční hranice</w:t>
            </w:r>
          </w:p>
        </w:tc>
        <w:tc>
          <w:tcPr>
            <w:tcW w:type="dxa" w:w="155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</w:t>
            </w:r>
          </w:p>
        </w:tc>
        <w:tc>
          <w:tcPr>
            <w:tcW w:type="dxa" w:w="127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</w:t>
            </w:r>
          </w:p>
        </w:tc>
        <w:tc>
          <w:tcPr>
            <w:tcW w:type="dxa" w:w="168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</w:t>
            </w:r>
          </w:p>
        </w:tc>
      </w:tr>
      <w:tr>
        <w:trPr>
          <w:cantSplit/>
        </w:trPr>
        <w:tc>
          <w:tcPr>
            <w:tcW w:type="dxa" w:w="253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Dodržení rozpočtu</w:t>
            </w:r>
          </w:p>
        </w:tc>
        <w:tc>
          <w:tcPr>
            <w:tcW w:type="dxa" w:w="246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vyžadována definice zahrnutých nákladů</w:t>
            </w:r>
          </w:p>
        </w:tc>
        <w:tc>
          <w:tcPr>
            <w:tcW w:type="dxa" w:w="222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</w:t>
            </w:r>
          </w:p>
        </w:tc>
        <w:tc>
          <w:tcPr>
            <w:tcW w:type="dxa" w:w="283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45 000 € je uvedený rozpočtový údaj, jeho status je TBD — vyžadováno finanční schválení</w:t>
            </w:r>
          </w:p>
        </w:tc>
        <w:tc>
          <w:tcPr>
            <w:tcW w:type="dxa" w:w="155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€</w:t>
            </w:r>
          </w:p>
        </w:tc>
        <w:tc>
          <w:tcPr>
            <w:tcW w:type="dxa" w:w="127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</w:t>
            </w:r>
          </w:p>
        </w:tc>
        <w:tc>
          <w:tcPr>
            <w:tcW w:type="dxa" w:w="168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</w:t>
            </w:r>
          </w:p>
        </w:tc>
      </w:tr>
      <w:tr>
        <w:trPr>
          <w:cantSplit/>
        </w:trPr>
        <w:tc>
          <w:tcPr>
            <w:tcW w:type="dxa" w:w="253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Připravenost cloudového prostředí</w:t>
            </w:r>
          </w:p>
        </w:tc>
        <w:tc>
          <w:tcPr>
            <w:tcW w:type="dxa" w:w="246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vyžadována akceptační definice</w:t>
            </w:r>
          </w:p>
        </w:tc>
        <w:tc>
          <w:tcPr>
            <w:tcW w:type="dxa" w:w="222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</w:t>
            </w:r>
          </w:p>
        </w:tc>
        <w:tc>
          <w:tcPr>
            <w:tcW w:type="dxa" w:w="283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vyžadována technická kritéria</w:t>
            </w:r>
          </w:p>
        </w:tc>
        <w:tc>
          <w:tcPr>
            <w:tcW w:type="dxa" w:w="155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</w:t>
            </w:r>
          </w:p>
        </w:tc>
        <w:tc>
          <w:tcPr>
            <w:tcW w:type="dxa" w:w="127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</w:t>
            </w:r>
          </w:p>
        </w:tc>
        <w:tc>
          <w:tcPr>
            <w:tcW w:type="dxa" w:w="168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</w:t>
            </w:r>
          </w:p>
        </w:tc>
      </w:tr>
      <w:tr>
        <w:trPr>
          <w:cantSplit/>
        </w:trPr>
        <w:tc>
          <w:tcPr>
            <w:tcW w:type="dxa" w:w="253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Úspěšnost testování a provozní akceptace</w:t>
            </w:r>
          </w:p>
        </w:tc>
        <w:tc>
          <w:tcPr>
            <w:tcW w:type="dxa" w:w="246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vyžadována definice testů a prahových hodnot</w:t>
            </w:r>
          </w:p>
        </w:tc>
        <w:tc>
          <w:tcPr>
            <w:tcW w:type="dxa" w:w="222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</w:t>
            </w:r>
          </w:p>
        </w:tc>
        <w:tc>
          <w:tcPr>
            <w:tcW w:type="dxa" w:w="283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vyžadována schválená kritéria</w:t>
            </w:r>
          </w:p>
        </w:tc>
        <w:tc>
          <w:tcPr>
            <w:tcW w:type="dxa" w:w="155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</w:t>
            </w:r>
          </w:p>
        </w:tc>
        <w:tc>
          <w:tcPr>
            <w:tcW w:type="dxa" w:w="127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</w:t>
            </w:r>
          </w:p>
        </w:tc>
        <w:tc>
          <w:tcPr>
            <w:tcW w:type="dxa" w:w="168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</w:t>
            </w:r>
          </w:p>
        </w:tc>
      </w:tr>
    </w:tbl>
    <w:p>
      <w:pPr>
        <w:spacing w:after="120"/>
      </w:pP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Vlastníci ukazatelů, zdroje měření, frekvence reportingu, akceptační data a schvalovací autorita jsou TBD — vyžadován je schválený rámec měření úspěchu. Nebyly dodány potvrzené baseline, cílové hodnoty ani prahové hodnoty.</w:t>
      </w:r>
    </w:p>
    <w:p>
      <w:pPr>
        <w:keepNext/>
        <w:spacing w:after="160" w:before="400"/>
      </w:pPr>
      <w:r>
        <w:rPr>
          <w:b/>
          <w:bCs/>
          <w:i w:val="false"/>
          <w:iCs w:val="false"/>
          <w:color w:val="1F232B"/>
          <w:sz w:val="30"/>
          <w:szCs w:val="30"/>
        </w:rPr>
        <w:t xml:space="preserve">Schválení a podpis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Požadováno je rozhodnutí o autorizaci projektu přesunu firemního webu a zákaznického portálu z vlastních serverů do cloudu, včetně potvrzení rozsahu, rozpočtu, předpokládané doby trvání, zdrojů a způsobu řízení.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21"/>
        <w:gridCol w:w="2384"/>
        <w:gridCol w:w="2846"/>
        <w:gridCol w:w="2192"/>
        <w:gridCol w:w="2371"/>
        <w:gridCol w:w="1956"/>
      </w:tblGrid>
      <w:tr>
        <w:trPr>
          <w:cantSplit/>
          <w:tblHeader/>
        </w:trPr>
        <w:tc>
          <w:tcPr>
            <w:tcW w:type="dxa" w:w="282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Pravomoc</w:t>
            </w:r>
          </w:p>
        </w:tc>
        <w:tc>
          <w:tcPr>
            <w:tcW w:type="dxa" w:w="238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Rozhodnutí</w:t>
            </w:r>
          </w:p>
        </w:tc>
        <w:tc>
          <w:tcPr>
            <w:tcW w:type="dxa" w:w="284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Podmínky</w:t>
            </w:r>
          </w:p>
        </w:tc>
        <w:tc>
          <w:tcPr>
            <w:tcW w:type="dxa" w:w="219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Datum rozhodnutí</w:t>
            </w:r>
          </w:p>
        </w:tc>
        <w:tc>
          <w:tcPr>
            <w:tcW w:type="dxa" w:w="237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Odůvodnění</w:t>
            </w:r>
          </w:p>
        </w:tc>
        <w:tc>
          <w:tcPr>
            <w:tcW w:type="dxa" w:w="195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Stav</w:t>
            </w:r>
          </w:p>
        </w:tc>
      </w:tr>
      <w:tr>
        <w:trPr>
          <w:cantSplit/>
        </w:trPr>
        <w:tc>
          <w:tcPr>
            <w:tcW w:type="dxa" w:w="282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Sponzor projektu — IT ředitel</w:t>
            </w:r>
          </w:p>
        </w:tc>
        <w:tc>
          <w:tcPr>
            <w:tcW w:type="dxa" w:w="238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vyžadováno rozhodnutí o autorizaci</w:t>
            </w:r>
          </w:p>
        </w:tc>
        <w:tc>
          <w:tcPr>
            <w:tcW w:type="dxa" w:w="284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Potvrzení rozsahu, rozpočtu 45 000 €, trvání 4 měsíců, zdrojů a governance</w:t>
            </w:r>
          </w:p>
        </w:tc>
        <w:tc>
          <w:tcPr>
            <w:tcW w:type="dxa" w:w="219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vyžadováno datum rozhodnutí</w:t>
            </w:r>
          </w:p>
        </w:tc>
        <w:tc>
          <w:tcPr>
            <w:tcW w:type="dxa" w:w="237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vyžadováno zaznamenané odůvodnění</w:t>
            </w:r>
          </w:p>
        </w:tc>
        <w:tc>
          <w:tcPr>
            <w:tcW w:type="dxa" w:w="195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Čeká na rozhodnutí</w:t>
            </w:r>
          </w:p>
        </w:tc>
      </w:tr>
      <w:tr>
        <w:trPr>
          <w:cantSplit/>
        </w:trPr>
        <w:tc>
          <w:tcPr>
            <w:tcW w:type="dxa" w:w="282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Finanční schvalovatel</w:t>
            </w:r>
          </w:p>
        </w:tc>
        <w:tc>
          <w:tcPr>
            <w:tcW w:type="dxa" w:w="238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vyžadováno potvrzení financování</w:t>
            </w:r>
          </w:p>
        </w:tc>
        <w:tc>
          <w:tcPr>
            <w:tcW w:type="dxa" w:w="284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Potvrzení, zda 45 000 € představuje autorizovaný rozpočet</w:t>
            </w:r>
          </w:p>
        </w:tc>
        <w:tc>
          <w:tcPr>
            <w:tcW w:type="dxa" w:w="219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vyžadováno datum rozhodnutí</w:t>
            </w:r>
          </w:p>
        </w:tc>
        <w:tc>
          <w:tcPr>
            <w:tcW w:type="dxa" w:w="237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vyžadováno finanční odůvodnění</w:t>
            </w:r>
          </w:p>
        </w:tc>
        <w:tc>
          <w:tcPr>
            <w:tcW w:type="dxa" w:w="195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Autorita TBD</w:t>
            </w:r>
          </w:p>
        </w:tc>
      </w:tr>
      <w:tr>
        <w:trPr>
          <w:cantSplit/>
        </w:trPr>
        <w:tc>
          <w:tcPr>
            <w:tcW w:type="dxa" w:w="282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Vlastník provozu nebo služeb</w:t>
            </w:r>
          </w:p>
        </w:tc>
        <w:tc>
          <w:tcPr>
            <w:tcW w:type="dxa" w:w="238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vyžadována provozní akceptace</w:t>
            </w:r>
          </w:p>
        </w:tc>
        <w:tc>
          <w:tcPr>
            <w:tcW w:type="dxa" w:w="284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Potvrzení provozních, testovacích a předávacích podmínek</w:t>
            </w:r>
          </w:p>
        </w:tc>
        <w:tc>
          <w:tcPr>
            <w:tcW w:type="dxa" w:w="219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vyžadováno datum rozhodnutí</w:t>
            </w:r>
          </w:p>
        </w:tc>
        <w:tc>
          <w:tcPr>
            <w:tcW w:type="dxa" w:w="237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vyžadováno provozní odůvodnění</w:t>
            </w:r>
          </w:p>
        </w:tc>
        <w:tc>
          <w:tcPr>
            <w:tcW w:type="dxa" w:w="195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Autorita TBD</w:t>
            </w:r>
          </w:p>
        </w:tc>
      </w:tr>
      <w:tr>
        <w:trPr>
          <w:cantSplit/>
        </w:trPr>
        <w:tc>
          <w:tcPr>
            <w:tcW w:type="dxa" w:w="282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Technický nebo architektonický schvalovatel</w:t>
            </w:r>
          </w:p>
        </w:tc>
        <w:tc>
          <w:tcPr>
            <w:tcW w:type="dxa" w:w="238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vyžadováno technické schválení</w:t>
            </w:r>
          </w:p>
        </w:tc>
        <w:tc>
          <w:tcPr>
            <w:tcW w:type="dxa" w:w="284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Potvrzení cloudového řešení, migrace a technických kritérií</w:t>
            </w:r>
          </w:p>
        </w:tc>
        <w:tc>
          <w:tcPr>
            <w:tcW w:type="dxa" w:w="219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vyžadováno datum rozhodnutí</w:t>
            </w:r>
          </w:p>
        </w:tc>
        <w:tc>
          <w:tcPr>
            <w:tcW w:type="dxa" w:w="237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vyžadováno technické odůvodnění</w:t>
            </w:r>
          </w:p>
        </w:tc>
        <w:tc>
          <w:tcPr>
            <w:tcW w:type="dxa" w:w="195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Autorita TBD</w:t>
            </w:r>
          </w:p>
        </w:tc>
      </w:tr>
    </w:tbl>
    <w:p>
      <w:pPr>
        <w:spacing w:after="120"/>
      </w:pP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Rozsah podpisu má zahrnovat účel, cíle, hranice, výstupy, governance, zdroje, rozpočet, rizika, milníky a kritéria úspěchu. Konkrétní signatáři, podmínky schválení a datum účinnosti jsou TBD — vyžadován je schvalovací záznam.</w:t>
      </w:r>
    </w:p>
    <w:p>
      <w:pPr>
        <w:keepNext/>
        <w:spacing w:after="160" w:before="400"/>
      </w:pPr>
      <w:r>
        <w:rPr>
          <w:b/>
          <w:bCs/>
          <w:i w:val="false"/>
          <w:iCs w:val="false"/>
          <w:color w:val="1F232B"/>
          <w:sz w:val="30"/>
          <w:szCs w:val="30"/>
        </w:rPr>
        <w:t xml:space="preserve">Doporučení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Doporučuje se </w:t>
      </w:r>
      <w:r>
        <w:rPr>
          <w:b/>
          <w:bCs/>
          <w:i w:val="false"/>
          <w:iCs w:val="false"/>
        </w:rPr>
        <w:t xml:space="preserve">odložit formální autorizaci do doplnění a schválení chybějících charterových podkladů</w:t>
      </w:r>
      <w:r>
        <w:rPr>
          <w:b w:val="false"/>
          <w:bCs w:val="false"/>
          <w:i w:val="false"/>
          <w:iCs w:val="false"/>
        </w:rPr>
        <w:t xml:space="preserve">, případně schválit pouze přípravnou fázi, pokud to sponzor výslovně potvrdí. Dodané zadání podporuje existenci záměru přesunout firemní web a zákaznický portál do cloudu a uvádí předpokládanou dobu 4 měsíců, rozpočtový údaj 45 000 €, složení týmu a IT ředitele jako sponzora. Neobsahuje však schválené cíle, hranice, výstupy, zainteresované strany, měřitelné KPI, harmonogram, rozpočtový status ani governance.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Před rozhodnutím o plné autorizaci je třeba doplnit zejména: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schválený rozsah a výslovné výluky;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cíle s vlastníky, měřítky, cílovými hodnotami a termíny;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seznam výstupů a akceptační podmínky;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odpovědnosti a rozhodovací pravomoci;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technické, provozní, bezpečnostní a smluvní předpoklady;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potvrzení kapacit týmu a rozsahu dodávky externího dodavatele cloudu;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potvrzení, zda 45 000 € představuje odhad, požadované financování, nebo autorizovaný rozpočet;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schválený harmonogram včetně milníků;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registr rizik a kritéria úspěchu;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 w:val="false"/>
          <w:bCs w:val="false"/>
          <w:i w:val="false"/>
          <w:iCs w:val="false"/>
        </w:rPr>
        <w:t xml:space="preserve">schvalovací a podpisový záznam.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Konečné doporučení k plné autorizaci zůstává TBD — vyžadováno je rozhodnutí IT ředitele na základě doplněných podkladů.</w:t>
      </w:r>
    </w:p>
    <w:sectPr>
      <w:footerReference w:type="default" r:id="rId7"/>
      <w:pgSz w:w="16838" w:h="11906" w:orient="landscape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6B7079"/>
        <w:sz w:val="18"/>
        <w:szCs w:val="18"/>
      </w:rPr>
      <w:t xml:space="preserve">Vygenerováno pomocí AI v Baaito – před použitím zkontrolujte.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start"/>
      <w:pPr>
        <w:ind w:left="540" w:hanging="3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32B"/>
        <w:sz w:val="21"/>
        <w:szCs w:val="21"/>
      </w:rPr>
    </w:rPrDefault>
    <w:pPrDefault>
      <w:pPr>
        <w:spacing w:line="38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Charter — Migrace firemního webu do cloudu</dc:title>
  <dc:subject>AI-generated document</dc:subject>
  <dc:creator>Baaito (AI-generated)</dc:creator>
  <cp:keywords>AI-generated, Baaito</cp:keywords>
  <dc:description>Generator: Baaito (AI-generated), model: gpt-5.6-luna, date: 2026-10-28</dc:description>
  <cp:lastModifiedBy>Baaito</cp:lastModifiedBy>
  <cp:revision>1</cp:revision>
  <dcterms:created xsi:type="dcterms:W3CDTF">2026-10-28T19:19:41.097Z</dcterms:created>
  <dcterms:modified xsi:type="dcterms:W3CDTF">2026-10-28T19:19:41.097Z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nerator">
    <vt:lpwstr>Baaito (AI-generated)</vt:lpwstr>
  </property>
  <property fmtid="{D5CDD505-2E9C-101B-9397-08002B2CF9AE}" pid="3" name="AI model">
    <vt:lpwstr>gpt-5.6-luna</vt:lpwstr>
  </property>
  <property fmtid="{D5CDD505-2E9C-101B-9397-08002B2CF9AE}" pid="4" name="Generated">
    <vt:lpwstr>2026-10-28</vt:lpwstr>
  </property>
</Properties>
</file>