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8DBE0" w:sz="4" w:space="8"/>
        </w:pBdr>
        <w:spacing w:after="240"/>
      </w:pPr>
      <w:r>
        <w:rPr>
          <w:rFonts w:ascii="Calibri" w:cs="Calibri" w:eastAsia="Calibri" w:hAnsi="Calibri"/>
          <w:b/>
          <w:bCs/>
          <w:color w:val="1F232B"/>
          <w:sz w:val="36"/>
          <w:szCs w:val="36"/>
        </w:rPr>
        <w:t xml:space="preserve">Project Charter — Website Migration to the Cloud</w:t>
      </w:r>
    </w:p>
    <w:p>
      <w:pPr>
        <w:keepNext/>
        <w:spacing w:after="200" w:before="0"/>
      </w:pPr>
      <w:r>
        <w:rPr>
          <w:b/>
          <w:bCs/>
          <w:i w:val="false"/>
          <w:iCs w:val="false"/>
          <w:color w:val="1F232B"/>
          <w:sz w:val="39"/>
          <w:szCs w:val="39"/>
        </w:rPr>
        <w:t xml:space="preserve">Project Charter</w:t>
      </w:r>
    </w:p>
    <w:p>
      <w:pPr>
        <w:keepNext/>
        <w:spacing w:after="160" w:before="400"/>
      </w:pPr>
      <w:r>
        <w:rPr>
          <w:b/>
          <w:bCs/>
          <w:i w:val="false"/>
          <w:iCs w:val="false"/>
          <w:color w:val="1F232B"/>
          <w:sz w:val="30"/>
          <w:szCs w:val="30"/>
        </w:rPr>
        <w:t xml:space="preserve">Project Purpose and Business Justification</w:t>
      </w:r>
    </w:p>
    <w:p>
      <w:pPr>
        <w:spacing w:after="180" w:line="384"/>
        <w:jc w:val="both"/>
      </w:pPr>
      <w:r>
        <w:rPr>
          <w:b w:val="false"/>
          <w:bCs w:val="false"/>
          <w:i w:val="false"/>
          <w:iCs w:val="false"/>
        </w:rPr>
        <w:t xml:space="preserve">The project concerns the migration of the company’s corporate website and customer portal from company-owned servers to the cloud.</w:t>
      </w:r>
    </w:p>
    <w:p>
      <w:pPr>
        <w:spacing w:after="180" w:line="384"/>
        <w:jc w:val="both"/>
      </w:pPr>
      <w:r>
        <w:rPr>
          <w:b w:val="false"/>
          <w:bCs w:val="false"/>
          <w:i w:val="false"/>
          <w:iCs w:val="false"/>
        </w:rPr>
        <w:t xml:space="preserve">The stated project duration is four months, with a budget of €45,000. The identified delivery team comprises a project manager, two developers, and an external cloud provider. The IT director is identified as the project sponsor.</w:t>
      </w:r>
    </w:p>
    <w:p>
      <w:pPr>
        <w:spacing w:after="180" w:line="384"/>
        <w:jc w:val="both"/>
      </w:pPr>
      <w:r>
        <w:rPr>
          <w:b w:val="false"/>
          <w:bCs w:val="false"/>
          <w:i w:val="false"/>
          <w:iCs w:val="false"/>
        </w:rPr>
        <w:t xml:space="preserve">The business justification, expected benefits, strategic alignment, and consequence of not proceeding are </w:t>
      </w:r>
      <w:r>
        <w:rPr>
          <w:b/>
          <w:bCs/>
          <w:i w:val="false"/>
          <w:iCs w:val="false"/>
        </w:rPr>
        <w:t xml:space="preserve">TBD — approved business case or sponsor justification required</w:t>
      </w:r>
      <w:r>
        <w:rPr>
          <w:b w:val="false"/>
          <w:bCs w:val="false"/>
          <w:i w:val="false"/>
          <w:iCs w:val="false"/>
        </w:rPr>
        <w:t xml:space="preserve">. The specific authorization decision sought is </w:t>
      </w:r>
      <w:r>
        <w:rPr>
          <w:b/>
          <w:bCs/>
          <w:i w:val="false"/>
          <w:iCs w:val="false"/>
        </w:rPr>
        <w:t xml:space="preserve">TBD — sponsor authorization request and approval conditions required</w:t>
      </w:r>
      <w:r>
        <w:rPr>
          <w:b w:val="false"/>
          <w:bCs w:val="false"/>
          <w:i w:val="false"/>
          <w:iCs w:val="false"/>
        </w:rPr>
        <w:t xml:space="preserve">.</w:t>
      </w:r>
    </w:p>
    <w:p>
      <w:pPr>
        <w:spacing w:after="180" w:line="384"/>
        <w:jc w:val="both"/>
      </w:pPr>
      <w:r>
        <w:rPr>
          <w:b w:val="false"/>
          <w:bCs w:val="false"/>
          <w:i w:val="false"/>
          <w:iCs w:val="false"/>
        </w:rPr>
        <w:t xml:space="preserve">This charter is limited to project initiation and authorization. Detailed migration planning, technical design, implementation sequencing, and operational transition planning are </w:t>
      </w:r>
      <w:r>
        <w:rPr>
          <w:b/>
          <w:bCs/>
          <w:i w:val="false"/>
          <w:iCs w:val="false"/>
        </w:rPr>
        <w:t xml:space="preserve">TBD — approved scope and delivery planning inputs required</w:t>
      </w:r>
      <w:r>
        <w:rPr>
          <w:b w:val="false"/>
          <w:bCs w:val="false"/>
          <w:i w:val="false"/>
          <w:iCs w:val="false"/>
        </w:rPr>
        <w:t xml:space="preserve">.</w:t>
      </w:r>
    </w:p>
    <w:p>
      <w:pPr>
        <w:keepNext/>
        <w:spacing w:after="160" w:before="400"/>
      </w:pPr>
      <w:r>
        <w:rPr>
          <w:b/>
          <w:bCs/>
          <w:i w:val="false"/>
          <w:iCs w:val="false"/>
          <w:color w:val="1F232B"/>
          <w:sz w:val="30"/>
          <w:szCs w:val="30"/>
        </w:rPr>
        <w:t xml:space="preserve">Objectives</w:t>
      </w:r>
    </w:p>
    <w:p>
      <w:pPr>
        <w:spacing w:after="180" w:line="384"/>
        <w:jc w:val="both"/>
      </w:pPr>
      <w:r>
        <w:rPr>
          <w:b w:val="false"/>
          <w:bCs w:val="false"/>
          <w:i w:val="false"/>
          <w:iCs w:val="false"/>
        </w:rPr>
        <w:t xml:space="preserve">Authorized project objectives are </w:t>
      </w:r>
      <w:r>
        <w:rPr>
          <w:b/>
          <w:bCs/>
          <w:i w:val="false"/>
          <w:iCs w:val="false"/>
        </w:rPr>
        <w:t xml:space="preserve">TBD — approved objectives input required</w:t>
      </w:r>
      <w:r>
        <w:rPr>
          <w:b w:val="false"/>
          <w:bCs w:val="false"/>
          <w:i w:val="false"/>
          <w:iCs w:val="false"/>
        </w:rPr>
        <w:t xml:space="preserve">.</w:t>
      </w:r>
    </w:p>
    <w:p>
      <w:pPr>
        <w:spacing w:after="180" w:line="384"/>
        <w:jc w:val="both"/>
      </w:pPr>
      <w:r>
        <w:rPr>
          <w:b w:val="false"/>
          <w:bCs w:val="false"/>
          <w:i w:val="false"/>
          <w:iCs w:val="false"/>
        </w:rPr>
        <w:t xml:space="preserve">The following objective attributes are also </w:t>
      </w:r>
      <w:r>
        <w:rPr>
          <w:b/>
          <w:bCs/>
          <w:i w:val="false"/>
          <w:iCs w:val="false"/>
        </w:rPr>
        <w:t xml:space="preserve">TBD — approved objective definitions required</w:t>
      </w:r>
      <w:r>
        <w:rPr>
          <w:b w:val="false"/>
          <w:bCs w:val="false"/>
          <w:i w:val="false"/>
          <w:iCs w:val="false"/>
        </w:rPr>
        <w:t xml:space="preserve">:</w:t>
      </w:r>
    </w:p>
    <w:p>
      <w:pPr>
        <w:pStyle w:val="ListParagraph"/>
        <w:numPr>
          <w:ilvl w:val="0"/>
          <w:numId w:val="2"/>
        </w:numPr>
        <w:spacing w:after="80" w:line="384"/>
      </w:pPr>
      <w:r>
        <w:rPr>
          <w:b w:val="false"/>
          <w:bCs w:val="false"/>
          <w:i w:val="false"/>
          <w:iCs w:val="false"/>
        </w:rPr>
        <w:t xml:space="preserve">Outcome to be achieved.</w:t>
      </w:r>
    </w:p>
    <w:p>
      <w:pPr>
        <w:pStyle w:val="ListParagraph"/>
        <w:numPr>
          <w:ilvl w:val="0"/>
          <w:numId w:val="2"/>
        </w:numPr>
        <w:spacing w:after="80" w:line="384"/>
      </w:pPr>
      <w:r>
        <w:rPr>
          <w:b w:val="false"/>
          <w:bCs w:val="false"/>
          <w:i w:val="false"/>
          <w:iCs w:val="false"/>
        </w:rPr>
        <w:t xml:space="preserve">Beneficiary or affected business area.</w:t>
      </w:r>
    </w:p>
    <w:p>
      <w:pPr>
        <w:pStyle w:val="ListParagraph"/>
        <w:numPr>
          <w:ilvl w:val="0"/>
          <w:numId w:val="2"/>
        </w:numPr>
        <w:spacing w:after="80" w:line="384"/>
      </w:pPr>
      <w:r>
        <w:rPr>
          <w:b w:val="false"/>
          <w:bCs w:val="false"/>
          <w:i w:val="false"/>
          <w:iCs w:val="false"/>
        </w:rPr>
        <w:t xml:space="preserve">Measure and baseline.</w:t>
      </w:r>
    </w:p>
    <w:p>
      <w:pPr>
        <w:pStyle w:val="ListParagraph"/>
        <w:numPr>
          <w:ilvl w:val="0"/>
          <w:numId w:val="2"/>
        </w:numPr>
        <w:spacing w:after="80" w:line="384"/>
      </w:pPr>
      <w:r>
        <w:rPr>
          <w:b w:val="false"/>
          <w:bCs w:val="false"/>
          <w:i w:val="false"/>
          <w:iCs w:val="false"/>
        </w:rPr>
        <w:t xml:space="preserve">Target value.</w:t>
      </w:r>
    </w:p>
    <w:p>
      <w:pPr>
        <w:pStyle w:val="ListParagraph"/>
        <w:numPr>
          <w:ilvl w:val="0"/>
          <w:numId w:val="2"/>
        </w:numPr>
        <w:spacing w:after="80" w:line="384"/>
      </w:pPr>
      <w:r>
        <w:rPr>
          <w:b w:val="false"/>
          <w:bCs w:val="false"/>
          <w:i w:val="false"/>
          <w:iCs w:val="false"/>
        </w:rPr>
        <w:t xml:space="preserve">Accountable owner.</w:t>
      </w:r>
    </w:p>
    <w:p>
      <w:pPr>
        <w:pStyle w:val="ListParagraph"/>
        <w:numPr>
          <w:ilvl w:val="0"/>
          <w:numId w:val="2"/>
        </w:numPr>
        <w:spacing w:after="80" w:line="384"/>
      </w:pPr>
      <w:r>
        <w:rPr>
          <w:b w:val="false"/>
          <w:bCs w:val="false"/>
          <w:i w:val="false"/>
          <w:iCs w:val="false"/>
        </w:rPr>
        <w:t xml:space="preserve">Completion timeframe.</w:t>
      </w:r>
    </w:p>
    <w:p>
      <w:pPr>
        <w:pStyle w:val="ListParagraph"/>
        <w:numPr>
          <w:ilvl w:val="0"/>
          <w:numId w:val="2"/>
        </w:numPr>
        <w:spacing w:after="240" w:line="384"/>
      </w:pPr>
      <w:r>
        <w:rPr>
          <w:b w:val="false"/>
          <w:bCs w:val="false"/>
          <w:i w:val="false"/>
          <w:iCs w:val="false"/>
        </w:rPr>
        <w:t xml:space="preserve">Relationship to the stated cloud migration purpose.</w:t>
      </w:r>
    </w:p>
    <w:p>
      <w:pPr>
        <w:spacing w:after="180" w:line="384"/>
        <w:jc w:val="both"/>
      </w:pPr>
      <w:r>
        <w:rPr>
          <w:b w:val="false"/>
          <w:bCs w:val="false"/>
          <w:i w:val="false"/>
          <w:iCs w:val="false"/>
        </w:rPr>
        <w:t xml:space="preserve">The four-month duration is a stated planning expectation, not a complete objective or approved schedule commitment. The €45,000 amount is a stated budget figure, not evidence of an approved funding envelope or budget authority.</w:t>
      </w:r>
    </w:p>
    <w:p>
      <w:pPr>
        <w:keepNext/>
        <w:spacing w:after="160" w:before="400"/>
      </w:pPr>
      <w:r>
        <w:rPr>
          <w:b/>
          <w:bCs/>
          <w:i w:val="false"/>
          <w:iCs w:val="false"/>
          <w:color w:val="1F232B"/>
          <w:sz w:val="30"/>
          <w:szCs w:val="30"/>
        </w:rPr>
        <w:t xml:space="preserve">Scope and Boundaries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65"/>
        <w:gridCol w:w="2223"/>
        <w:gridCol w:w="3194"/>
        <w:gridCol w:w="2347"/>
        <w:gridCol w:w="2351"/>
        <w:gridCol w:w="2090"/>
      </w:tblGrid>
      <w:tr>
        <w:trPr>
          <w:cantSplit/>
          <w:tblHeader/>
        </w:trPr>
        <w:tc>
          <w:tcPr>
            <w:tcW w:type="dxa" w:w="236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Scope Item</w:t>
            </w:r>
          </w:p>
        </w:tc>
        <w:tc>
          <w:tcPr>
            <w:tcW w:type="dxa" w:w="222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Classification</w:t>
            </w:r>
          </w:p>
        </w:tc>
        <w:tc>
          <w:tcPr>
            <w:tcW w:type="dxa" w:w="319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Description</w:t>
            </w:r>
          </w:p>
        </w:tc>
        <w:tc>
          <w:tcPr>
            <w:tcW w:type="dxa" w:w="234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Rationale</w:t>
            </w:r>
          </w:p>
        </w:tc>
        <w:tc>
          <w:tcPr>
            <w:tcW w:type="dxa" w:w="235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209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Corporate website migration from company-owned servers to the cloud</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Potentially included</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supplied brief identifies migration of the corporate website as part of the project. Detailed boundaries and acceptance conditions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project brief</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scope owner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scope approval TBD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Customer portal migration from company-owned servers to the cloud</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Potentially included</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supplied brief identifies migration of the customer portal as part of the project. Detailed boundaries and acceptance conditions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project brief</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scope owner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scope approval TBD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Cloud environment and migration activities</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Potentially included</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project references an external cloud provider, but the required cloud services, configurations, integrations, security arrangements, and migration activities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Required to determine how the stated migration will be delivered</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scope and technical input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management and development resources</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resource boundary</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stated team comprises a project manager and two developers. Responsibilities, capacity, allocation, and duration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team description</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resource authority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resource confirmation TBD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External cloud provider involvement</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interface</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external cloud provider is identified as part of the team. Contractual responsibilities, deliverables, authority, and handoffs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project brief</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provider responsibility input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confirmation TBD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duration</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Constraint or planning parameter</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project should take four months. Start date, end date, schedule basis, and whether this is an approved commitment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project brief</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schedule authority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Indicative</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budget</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Constraint or funding parameter</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stated budget is €45,000. The funding source, cost estimate basis, authorized limit, and included cost categories are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Based on the supplied project brief</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funding authority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Indicative</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Explicit exclusions</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Excluded scope</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explicit exclusions were supplied.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Exclusions cannot be inferred from silence</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scope authority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exclusions input required</w:t>
            </w:r>
          </w:p>
        </w:tc>
      </w:tr>
      <w:tr>
        <w:trPr>
          <w:cantSplit/>
        </w:trPr>
        <w:tc>
          <w:tcPr>
            <w:tcW w:type="dxa" w:w="236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Scope-change authority</w:t>
            </w:r>
          </w:p>
        </w:tc>
        <w:tc>
          <w:tcPr>
            <w:tcW w:type="dxa" w:w="22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Governance boundary</w:t>
            </w:r>
          </w:p>
        </w:tc>
        <w:tc>
          <w:tcPr>
            <w:tcW w:type="dxa" w:w="31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authority permitted to approve scope changes is TBD.</w:t>
            </w:r>
          </w:p>
        </w:tc>
        <w:tc>
          <w:tcPr>
            <w:tcW w:type="dxa" w:w="23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Required to control the authorization boundary</w:t>
            </w:r>
          </w:p>
        </w:tc>
        <w:tc>
          <w:tcPr>
            <w:tcW w:type="dxa" w:w="235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decision required</w:t>
            </w:r>
          </w:p>
        </w:tc>
        <w:tc>
          <w:tcPr>
            <w:tcW w:type="dxa" w:w="2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bl>
    <w:p>
      <w:pPr>
        <w:spacing w:after="120"/>
      </w:pPr>
    </w:p>
    <w:p>
      <w:pPr>
        <w:keepNext/>
        <w:spacing w:after="160" w:before="400"/>
      </w:pPr>
      <w:r>
        <w:rPr>
          <w:b/>
          <w:bCs/>
          <w:i w:val="false"/>
          <w:iCs w:val="false"/>
          <w:color w:val="1F232B"/>
          <w:sz w:val="30"/>
          <w:szCs w:val="30"/>
        </w:rPr>
        <w:t xml:space="preserve">Key Deliverables</w:t>
      </w:r>
    </w:p>
    <w:p>
      <w:pPr>
        <w:spacing w:after="180" w:line="384"/>
        <w:jc w:val="both"/>
      </w:pPr>
      <w:r>
        <w:rPr>
          <w:b w:val="false"/>
          <w:bCs w:val="false"/>
          <w:i w:val="false"/>
          <w:iCs w:val="false"/>
        </w:rPr>
        <w:t xml:space="preserve">The following potential deliverables are indicated by the project purpose, but their detailed definitions are </w:t>
      </w:r>
      <w:r>
        <w:rPr>
          <w:b/>
          <w:bCs/>
          <w:i w:val="false"/>
          <w:iCs w:val="false"/>
        </w:rPr>
        <w:t xml:space="preserve">TBD — approved deliverables input required</w:t>
      </w:r>
      <w:r>
        <w:rPr>
          <w:b w:val="false"/>
          <w:bCs w:val="false"/>
          <w:i w:val="false"/>
          <w:iCs w:val="false"/>
        </w:rPr>
        <w:t xml:space="preserve">:</w:t>
      </w:r>
    </w:p>
    <w:p>
      <w:pPr>
        <w:pStyle w:val="ListParagraph"/>
        <w:numPr>
          <w:ilvl w:val="0"/>
          <w:numId w:val="2"/>
        </w:numPr>
        <w:spacing w:after="80" w:line="384"/>
      </w:pPr>
      <w:r>
        <w:rPr>
          <w:b w:val="false"/>
          <w:bCs w:val="false"/>
          <w:i w:val="false"/>
          <w:iCs w:val="false"/>
        </w:rPr>
        <w:t xml:space="preserve">Migrated corporate website hosted in the cloud, subject to a TBD acceptance condition, accountable owner, dependency, and target milestone.</w:t>
      </w:r>
    </w:p>
    <w:p>
      <w:pPr>
        <w:pStyle w:val="ListParagraph"/>
        <w:numPr>
          <w:ilvl w:val="0"/>
          <w:numId w:val="2"/>
        </w:numPr>
        <w:spacing w:after="80" w:line="384"/>
      </w:pPr>
      <w:r>
        <w:rPr>
          <w:b w:val="false"/>
          <w:bCs w:val="false"/>
          <w:i w:val="false"/>
          <w:iCs w:val="false"/>
        </w:rPr>
        <w:t xml:space="preserve">Migrated customer portal hosted in the cloud, subject to a TBD acceptance condition, accountable owner, dependency, and target milestone.</w:t>
      </w:r>
    </w:p>
    <w:p>
      <w:pPr>
        <w:pStyle w:val="ListParagraph"/>
        <w:numPr>
          <w:ilvl w:val="0"/>
          <w:numId w:val="2"/>
        </w:numPr>
        <w:spacing w:after="80" w:line="384"/>
      </w:pPr>
      <w:r>
        <w:rPr>
          <w:b w:val="false"/>
          <w:bCs w:val="false"/>
          <w:i w:val="false"/>
          <w:iCs w:val="false"/>
        </w:rPr>
        <w:t xml:space="preserve">Cloud provider contribution or configured cloud environment, subject to a TBD acceptance condition, accountable owner, dependency, and target milestone.</w:t>
      </w:r>
    </w:p>
    <w:p>
      <w:pPr>
        <w:pStyle w:val="ListParagraph"/>
        <w:numPr>
          <w:ilvl w:val="0"/>
          <w:numId w:val="2"/>
        </w:numPr>
        <w:spacing w:after="240" w:line="384"/>
      </w:pPr>
      <w:r>
        <w:rPr>
          <w:b w:val="false"/>
          <w:bCs w:val="false"/>
          <w:i w:val="false"/>
          <w:iCs w:val="false"/>
        </w:rPr>
        <w:t xml:space="preserve">Project completion evidence, including acceptance and transition criteria, is </w:t>
      </w:r>
      <w:r>
        <w:rPr>
          <w:b/>
          <w:bCs/>
          <w:i w:val="false"/>
          <w:iCs w:val="false"/>
        </w:rPr>
        <w:t xml:space="preserve">TBD — approved deliverable and acceptance input required</w:t>
      </w:r>
      <w:r>
        <w:rPr>
          <w:b w:val="false"/>
          <w:bCs w:val="false"/>
          <w:i w:val="false"/>
          <w:iCs w:val="false"/>
        </w:rPr>
        <w:t xml:space="preserve">.</w:t>
      </w:r>
    </w:p>
    <w:p>
      <w:pPr>
        <w:spacing w:after="180" w:line="384"/>
        <w:jc w:val="both"/>
      </w:pPr>
      <w:r>
        <w:rPr>
          <w:b w:val="false"/>
          <w:bCs w:val="false"/>
          <w:i w:val="false"/>
          <w:iCs w:val="false"/>
        </w:rPr>
        <w:t xml:space="preserve">The project team’s activities, such as development or migration execution, should not be treated as deliverables unless confirmed through the approved scope and deliverables definition.</w:t>
      </w:r>
    </w:p>
    <w:p>
      <w:pPr>
        <w:keepNext/>
        <w:spacing w:after="160" w:before="400"/>
      </w:pPr>
      <w:r>
        <w:rPr>
          <w:b/>
          <w:bCs/>
          <w:i w:val="false"/>
          <w:iCs w:val="false"/>
          <w:color w:val="1F232B"/>
          <w:sz w:val="30"/>
          <w:szCs w:val="30"/>
        </w:rPr>
        <w:t xml:space="preserve">Stakeholders</w:t>
      </w:r>
    </w:p>
    <w:p>
      <w:pPr>
        <w:spacing w:after="180" w:line="384"/>
        <w:jc w:val="both"/>
      </w:pPr>
      <w:r>
        <w:rPr>
          <w:b w:val="false"/>
          <w:bCs w:val="false"/>
          <w:i w:val="false"/>
          <w:iCs w:val="false"/>
        </w:rPr>
        <w:t xml:space="preserve">Known stakeholder and delivery roles are limited to the following supplied information:</w:t>
      </w:r>
    </w:p>
    <w:p>
      <w:pPr>
        <w:pStyle w:val="ListParagraph"/>
        <w:numPr>
          <w:ilvl w:val="0"/>
          <w:numId w:val="2"/>
        </w:numPr>
        <w:spacing w:after="80" w:line="384"/>
      </w:pPr>
      <w:r>
        <w:rPr>
          <w:b/>
          <w:bCs/>
          <w:i w:val="false"/>
          <w:iCs w:val="false"/>
        </w:rPr>
        <w:t xml:space="preserve">IT director:</w:t>
      </w:r>
      <w:r>
        <w:rPr>
          <w:b w:val="false"/>
          <w:bCs w:val="false"/>
          <w:i w:val="false"/>
          <w:iCs w:val="false"/>
        </w:rPr>
        <w:t xml:space="preserve"> identified as the project sponsor. Specific authorization authority, decision rights, escalation responsibilities, and sign-off scope are </w:t>
      </w:r>
      <w:r>
        <w:rPr>
          <w:b/>
          <w:bCs/>
          <w:i w:val="false"/>
          <w:iCs w:val="false"/>
        </w:rPr>
        <w:t xml:space="preserve">TBD — approved governance input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Project manager:</w:t>
      </w:r>
      <w:r>
        <w:rPr>
          <w:b w:val="false"/>
          <w:bCs w:val="false"/>
          <w:i w:val="false"/>
          <w:iCs w:val="false"/>
        </w:rPr>
        <w:t xml:space="preserve"> identified as a project team member. Specific accountability, authority, reporting responsibilities, and handoffs are </w:t>
      </w:r>
      <w:r>
        <w:rPr>
          <w:b/>
          <w:bCs/>
          <w:i w:val="false"/>
          <w:iCs w:val="false"/>
        </w:rPr>
        <w:t xml:space="preserve">TBD — approved role assignment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Two developers:</w:t>
      </w:r>
      <w:r>
        <w:rPr>
          <w:b w:val="false"/>
          <w:bCs w:val="false"/>
          <w:i w:val="false"/>
          <w:iCs w:val="false"/>
        </w:rPr>
        <w:t xml:space="preserve"> identified as project team members. Individual responsibilities, capacity, workstream allocation, and acceptance responsibilities are </w:t>
      </w:r>
      <w:r>
        <w:rPr>
          <w:b/>
          <w:bCs/>
          <w:i w:val="false"/>
          <w:iCs w:val="false"/>
        </w:rPr>
        <w:t xml:space="preserve">TBD — approved resource and role assignment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External cloud provider:</w:t>
      </w:r>
      <w:r>
        <w:rPr>
          <w:b w:val="false"/>
          <w:bCs w:val="false"/>
          <w:i w:val="false"/>
          <w:iCs w:val="false"/>
        </w:rPr>
        <w:t xml:space="preserve"> identified as part of the project team. Contractual scope, technical responsibilities, authority, service obligations, and handoffs are </w:t>
      </w:r>
      <w:r>
        <w:rPr>
          <w:b/>
          <w:bCs/>
          <w:i w:val="false"/>
          <w:iCs w:val="false"/>
        </w:rPr>
        <w:t xml:space="preserve">TBD — provider agreement and governance input required</w:t>
      </w:r>
      <w:r>
        <w:rPr>
          <w:b w:val="false"/>
          <w:bCs w:val="false"/>
          <w:i w:val="false"/>
          <w:iCs w:val="false"/>
        </w:rPr>
        <w:t xml:space="preserve">.</w:t>
      </w:r>
    </w:p>
    <w:p>
      <w:pPr>
        <w:spacing w:after="180" w:line="384"/>
        <w:jc w:val="both"/>
      </w:pPr>
      <w:r>
        <w:rPr>
          <w:b w:val="false"/>
          <w:bCs w:val="false"/>
          <w:i w:val="false"/>
          <w:iCs w:val="false"/>
        </w:rPr>
        <w:t xml:space="preserve">Customer, business owner, operational, security, infrastructure, compliance, end-user, and other affected stakeholder groups are </w:t>
      </w:r>
      <w:r>
        <w:rPr>
          <w:b/>
          <w:bCs/>
          <w:i w:val="false"/>
          <w:iCs w:val="false"/>
        </w:rPr>
        <w:t xml:space="preserve">TBD — stakeholder register or approved stakeholder analysis required</w:t>
      </w:r>
      <w:r>
        <w:rPr>
          <w:b w:val="false"/>
          <w:bCs w:val="false"/>
          <w:i w:val="false"/>
          <w:iCs w:val="false"/>
        </w:rPr>
        <w:t xml:space="preserve">. Their interests, impact, authority, consultation needs, and responsibilities cannot be inferred from the supplied brief.</w:t>
      </w:r>
    </w:p>
    <w:p>
      <w:pPr>
        <w:keepNext/>
        <w:spacing w:after="160" w:before="400"/>
      </w:pPr>
      <w:r>
        <w:rPr>
          <w:b/>
          <w:bCs/>
          <w:i w:val="false"/>
          <w:iCs w:val="false"/>
          <w:color w:val="1F232B"/>
          <w:sz w:val="30"/>
          <w:szCs w:val="30"/>
        </w:rPr>
        <w:t xml:space="preserve">Project Organization and Governance</w:t>
      </w:r>
    </w:p>
    <w:p>
      <w:pPr>
        <w:spacing w:after="180" w:line="384"/>
        <w:jc w:val="both"/>
      </w:pPr>
      <w:r>
        <w:rPr>
          <w:b w:val="false"/>
          <w:bCs w:val="false"/>
          <w:i w:val="false"/>
          <w:iCs w:val="false"/>
        </w:rPr>
        <w:t xml:space="preserve">The project organization is partially identified, but formal authority, decision rights, escalation routes, and role assignments are not yet evidenced.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2"/>
        <w:gridCol w:w="3852"/>
        <w:gridCol w:w="2407"/>
        <w:gridCol w:w="3280"/>
        <w:gridCol w:w="2529"/>
      </w:tblGrid>
      <w:tr>
        <w:trPr>
          <w:cantSplit/>
          <w:tblHeader/>
        </w:trPr>
        <w:tc>
          <w:tcPr>
            <w:tcW w:type="dxa" w:w="250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Role</w:t>
            </w:r>
          </w:p>
        </w:tc>
        <w:tc>
          <w:tcPr>
            <w:tcW w:type="dxa" w:w="385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Responsibility</w:t>
            </w:r>
          </w:p>
        </w:tc>
        <w:tc>
          <w:tcPr>
            <w:tcW w:type="dxa" w:w="240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Authority</w:t>
            </w:r>
          </w:p>
        </w:tc>
        <w:tc>
          <w:tcPr>
            <w:tcW w:type="dxa" w:w="328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Handoff</w:t>
            </w:r>
          </w:p>
        </w:tc>
        <w:tc>
          <w:tcPr>
            <w:tcW w:type="dxa" w:w="252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Evidence</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sponsor — IT director</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Sponsor role is identified; specific authorization and oversight responsibilities are TBD.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governance decision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and reporting arrangement required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brief identifies the IT director as sponsor</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manager</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management role is identified; accountability for planning, coordination, reporting, and control is TBD.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role assignment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and delivery handoff required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brief identifies a project manager on the team</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Developers — two positions</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Development team participation is identified; individual responsibilities and technical ownership are TBD.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role assignment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deliverable and technical handoff required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brief identifies two developers</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External cloud provider</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Cloud provider participation is identified; provider deliverables, service responsibilities, and technical handoffs are TBD.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contract and governance input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provider-to-project handoff required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brief identifies an external cloud provider</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Governance body or steering committee</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governance body was supplied.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structure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supporting input supplied</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Assurance or approval role</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independent assurance or acceptance role was supplied.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assurance and sign-off input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supporting input supplied</w:t>
            </w:r>
          </w:p>
        </w:tc>
      </w:tr>
      <w:tr>
        <w:trPr>
          <w:cantSplit/>
        </w:trPr>
        <w:tc>
          <w:tcPr>
            <w:tcW w:type="dxa" w:w="250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Scope-change authority</w:t>
            </w:r>
          </w:p>
        </w:tc>
        <w:tc>
          <w:tcPr>
            <w:tcW w:type="dxa" w:w="38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authority for approving changes was supplied.</w:t>
            </w:r>
          </w:p>
        </w:tc>
        <w:tc>
          <w:tcPr>
            <w:tcW w:type="dxa" w:w="240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sponsor or governance decision required</w:t>
            </w:r>
          </w:p>
        </w:tc>
        <w:tc>
          <w:tcPr>
            <w:tcW w:type="dxa" w:w="32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supporting input supplied</w:t>
            </w:r>
          </w:p>
        </w:tc>
      </w:tr>
    </w:tbl>
    <w:p>
      <w:pPr>
        <w:spacing w:after="120"/>
      </w:pPr>
    </w:p>
    <w:p>
      <w:pPr>
        <w:keepNext/>
        <w:spacing w:after="160" w:before="400"/>
      </w:pPr>
      <w:r>
        <w:rPr>
          <w:b/>
          <w:bCs/>
          <w:i w:val="false"/>
          <w:iCs w:val="false"/>
          <w:color w:val="1F232B"/>
          <w:sz w:val="30"/>
          <w:szCs w:val="30"/>
        </w:rPr>
        <w:t xml:space="preserve">Assumptions and Constraints</w:t>
      </w:r>
    </w:p>
    <w:p>
      <w:pPr>
        <w:keepNext/>
        <w:spacing w:after="120" w:before="280"/>
      </w:pPr>
      <w:r>
        <w:rPr>
          <w:b/>
          <w:bCs/>
          <w:i w:val="false"/>
          <w:iCs w:val="false"/>
          <w:color w:val="1F232B"/>
          <w:sz w:val="24"/>
          <w:szCs w:val="24"/>
        </w:rPr>
        <w:t xml:space="preserve">Stated planning parameters</w:t>
      </w:r>
    </w:p>
    <w:p>
      <w:pPr>
        <w:pStyle w:val="ListParagraph"/>
        <w:numPr>
          <w:ilvl w:val="0"/>
          <w:numId w:val="2"/>
        </w:numPr>
        <w:spacing w:after="80" w:line="384"/>
      </w:pPr>
      <w:r>
        <w:rPr>
          <w:b/>
          <w:bCs/>
          <w:i w:val="false"/>
          <w:iCs w:val="false"/>
        </w:rPr>
        <w:t xml:space="preserve">Duration:</w:t>
      </w:r>
      <w:r>
        <w:rPr>
          <w:b w:val="false"/>
          <w:bCs w:val="false"/>
          <w:i w:val="false"/>
          <w:iCs w:val="false"/>
        </w:rPr>
        <w:t xml:space="preserve"> The project should take four months. Start date, end date, schedule basis, and commitment status are </w:t>
      </w:r>
      <w:r>
        <w:rPr>
          <w:b/>
          <w:bCs/>
          <w:i w:val="false"/>
          <w:iCs w:val="false"/>
        </w:rPr>
        <w:t xml:space="preserve">TBD — approved schedule input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Budget:</w:t>
      </w:r>
      <w:r>
        <w:rPr>
          <w:b w:val="false"/>
          <w:bCs w:val="false"/>
          <w:i w:val="false"/>
          <w:iCs w:val="false"/>
        </w:rPr>
        <w:t xml:space="preserve"> The project budget is stated as €45,000. Whether this is an estimate, requested funding amount, or authorized budget is </w:t>
      </w:r>
      <w:r>
        <w:rPr>
          <w:b/>
          <w:bCs/>
          <w:i w:val="false"/>
          <w:iCs w:val="false"/>
        </w:rPr>
        <w:t xml:space="preserve">TBD — funding approval and estimate basis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Core team:</w:t>
      </w:r>
      <w:r>
        <w:rPr>
          <w:b w:val="false"/>
          <w:bCs w:val="false"/>
          <w:i w:val="false"/>
          <w:iCs w:val="false"/>
        </w:rPr>
        <w:t xml:space="preserve"> The stated team comprises a project manager, two developers, and an external cloud provider. Capacity, allocation, availability, and contractual commitment are </w:t>
      </w:r>
      <w:r>
        <w:rPr>
          <w:b/>
          <w:bCs/>
          <w:i w:val="false"/>
          <w:iCs w:val="false"/>
        </w:rPr>
        <w:t xml:space="preserve">TBD — approved resource plan and provider agreement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Sponsor:</w:t>
      </w:r>
      <w:r>
        <w:rPr>
          <w:b w:val="false"/>
          <w:bCs w:val="false"/>
          <w:i w:val="false"/>
          <w:iCs w:val="false"/>
        </w:rPr>
        <w:t xml:space="preserve"> The IT director is identified as sponsor. Formal authority limits and sign-off responsibilities are </w:t>
      </w:r>
      <w:r>
        <w:rPr>
          <w:b/>
          <w:bCs/>
          <w:i w:val="false"/>
          <w:iCs w:val="false"/>
        </w:rPr>
        <w:t xml:space="preserve">TBD — approved governance input required</w:t>
      </w:r>
      <w:r>
        <w:rPr>
          <w:b w:val="false"/>
          <w:bCs w:val="false"/>
          <w:i w:val="false"/>
          <w:iCs w:val="false"/>
        </w:rPr>
        <w:t xml:space="preserve">.</w:t>
      </w:r>
    </w:p>
    <w:p>
      <w:pPr>
        <w:keepNext/>
        <w:spacing w:after="120" w:before="280"/>
      </w:pPr>
      <w:r>
        <w:rPr>
          <w:b/>
          <w:bCs/>
          <w:i w:val="false"/>
          <w:iCs w:val="false"/>
          <w:color w:val="1F232B"/>
          <w:sz w:val="24"/>
          <w:szCs w:val="24"/>
        </w:rPr>
        <w:t xml:space="preserve">Missing assumptions and constraints</w:t>
      </w:r>
    </w:p>
    <w:p>
      <w:pPr>
        <w:spacing w:after="180" w:line="384"/>
        <w:jc w:val="both"/>
      </w:pPr>
      <w:r>
        <w:rPr>
          <w:b w:val="false"/>
          <w:bCs w:val="false"/>
          <w:i w:val="false"/>
          <w:iCs w:val="false"/>
        </w:rPr>
        <w:t xml:space="preserve">Assumptions relating to the current hosting environment, application dependencies, data, security, compliance, service availability, customer impact, technical readiness, procurement, and operational support are </w:t>
      </w:r>
      <w:r>
        <w:rPr>
          <w:b/>
          <w:bCs/>
          <w:i w:val="false"/>
          <w:iCs w:val="false"/>
        </w:rPr>
        <w:t xml:space="preserve">TBD — approved assumptions and constraints register required</w:t>
      </w:r>
      <w:r>
        <w:rPr>
          <w:b w:val="false"/>
          <w:bCs w:val="false"/>
          <w:i w:val="false"/>
          <w:iCs w:val="false"/>
        </w:rPr>
        <w:t xml:space="preserve">.</w:t>
      </w:r>
    </w:p>
    <w:p>
      <w:pPr>
        <w:spacing w:after="180" w:line="384"/>
        <w:jc w:val="both"/>
      </w:pPr>
      <w:r>
        <w:rPr>
          <w:b w:val="false"/>
          <w:bCs w:val="false"/>
          <w:i w:val="false"/>
          <w:iCs w:val="false"/>
        </w:rPr>
        <w:t xml:space="preserve">The impact if any stated planning parameter proves inaccurate is </w:t>
      </w:r>
      <w:r>
        <w:rPr>
          <w:b/>
          <w:bCs/>
          <w:i w:val="false"/>
          <w:iCs w:val="false"/>
        </w:rPr>
        <w:t xml:space="preserve">TBD — risk and schedule/budget analysis required</w:t>
      </w:r>
      <w:r>
        <w:rPr>
          <w:b w:val="false"/>
          <w:bCs w:val="false"/>
          <w:i w:val="false"/>
          <w:iCs w:val="false"/>
        </w:rPr>
        <w:t xml:space="preserve">. Validation points, owners, resulting risks, and required charter decisions are also </w:t>
      </w:r>
      <w:r>
        <w:rPr>
          <w:b/>
          <w:bCs/>
          <w:i w:val="false"/>
          <w:iCs w:val="false"/>
        </w:rPr>
        <w:t xml:space="preserve">TBD — project planning and governance inputs required</w:t>
      </w:r>
      <w:r>
        <w:rPr>
          <w:b w:val="false"/>
          <w:bCs w:val="false"/>
          <w:i w:val="false"/>
          <w:iCs w:val="false"/>
        </w:rPr>
        <w:t xml:space="preserve">.</w:t>
      </w:r>
    </w:p>
    <w:p>
      <w:pPr>
        <w:keepNext/>
        <w:spacing w:after="160" w:before="400"/>
      </w:pPr>
      <w:r>
        <w:rPr>
          <w:b/>
          <w:bCs/>
          <w:i w:val="false"/>
          <w:iCs w:val="false"/>
          <w:color w:val="1F232B"/>
          <w:sz w:val="30"/>
          <w:szCs w:val="30"/>
        </w:rPr>
        <w:t xml:space="preserve">Resources and Budget</w:t>
      </w:r>
    </w:p>
    <w:p>
      <w:pPr>
        <w:spacing w:after="180" w:line="384"/>
        <w:jc w:val="both"/>
      </w:pPr>
      <w:r>
        <w:rPr>
          <w:b w:val="false"/>
          <w:bCs w:val="false"/>
          <w:i w:val="false"/>
          <w:iCs w:val="false"/>
        </w:rPr>
        <w:t xml:space="preserve">The supplied brief identifies the following high-level resources:</w:t>
      </w:r>
    </w:p>
    <w:p>
      <w:pPr>
        <w:pStyle w:val="ListParagraph"/>
        <w:numPr>
          <w:ilvl w:val="0"/>
          <w:numId w:val="2"/>
        </w:numPr>
        <w:spacing w:after="80" w:line="384"/>
      </w:pPr>
      <w:r>
        <w:rPr>
          <w:b w:val="false"/>
          <w:bCs w:val="false"/>
          <w:i w:val="false"/>
          <w:iCs w:val="false"/>
        </w:rPr>
        <w:t xml:space="preserve">One project manager.</w:t>
      </w:r>
    </w:p>
    <w:p>
      <w:pPr>
        <w:pStyle w:val="ListParagraph"/>
        <w:numPr>
          <w:ilvl w:val="0"/>
          <w:numId w:val="2"/>
        </w:numPr>
        <w:spacing w:after="80" w:line="384"/>
      </w:pPr>
      <w:r>
        <w:rPr>
          <w:b w:val="false"/>
          <w:bCs w:val="false"/>
          <w:i w:val="false"/>
          <w:iCs w:val="false"/>
        </w:rPr>
        <w:t xml:space="preserve">Two developers.</w:t>
      </w:r>
    </w:p>
    <w:p>
      <w:pPr>
        <w:pStyle w:val="ListParagraph"/>
        <w:numPr>
          <w:ilvl w:val="0"/>
          <w:numId w:val="2"/>
        </w:numPr>
        <w:spacing w:after="240" w:line="384"/>
      </w:pPr>
      <w:r>
        <w:rPr>
          <w:b w:val="false"/>
          <w:bCs w:val="false"/>
          <w:i w:val="false"/>
          <w:iCs w:val="false"/>
        </w:rPr>
        <w:t xml:space="preserve">An external cloud provider.</w:t>
      </w:r>
    </w:p>
    <w:p>
      <w:pPr>
        <w:spacing w:after="180" w:line="384"/>
        <w:jc w:val="both"/>
      </w:pPr>
      <w:r>
        <w:rPr>
          <w:b w:val="false"/>
          <w:bCs w:val="false"/>
          <w:i w:val="false"/>
          <w:iCs w:val="false"/>
        </w:rPr>
        <w:t xml:space="preserve">Resource capacity, allocation, availability, role assignments, provider contract terms, and timing are </w:t>
      </w:r>
      <w:r>
        <w:rPr>
          <w:b/>
          <w:bCs/>
          <w:i w:val="false"/>
          <w:iCs w:val="false"/>
        </w:rPr>
        <w:t xml:space="preserve">TBD — approved resource plan and provider agreement required</w:t>
      </w:r>
      <w:r>
        <w:rPr>
          <w:b w:val="false"/>
          <w:bCs w:val="false"/>
          <w:i w:val="false"/>
          <w:iCs w:val="false"/>
        </w:rPr>
        <w:t xml:space="preserve">.</w:t>
      </w:r>
    </w:p>
    <w:p>
      <w:pPr>
        <w:spacing w:after="180" w:line="384"/>
        <w:jc w:val="both"/>
      </w:pPr>
      <w:r>
        <w:rPr>
          <w:b w:val="false"/>
          <w:bCs w:val="false"/>
          <w:i w:val="false"/>
          <w:iCs w:val="false"/>
        </w:rPr>
        <w:t xml:space="preserve">The stated budget is </w:t>
      </w:r>
      <w:r>
        <w:rPr>
          <w:b/>
          <w:bCs/>
          <w:i w:val="false"/>
          <w:iCs w:val="false"/>
        </w:rPr>
        <w:t xml:space="preserve">€45,000</w:t>
      </w:r>
      <w:r>
        <w:rPr>
          <w:b w:val="false"/>
          <w:bCs w:val="false"/>
          <w:i w:val="false"/>
          <w:iCs w:val="false"/>
        </w:rPr>
        <w:t xml:space="preserve">. The following distinctions remain unresolved:</w:t>
      </w:r>
    </w:p>
    <w:p>
      <w:pPr>
        <w:pStyle w:val="ListParagraph"/>
        <w:numPr>
          <w:ilvl w:val="0"/>
          <w:numId w:val="2"/>
        </w:numPr>
        <w:spacing w:after="80" w:line="384"/>
      </w:pPr>
      <w:r>
        <w:rPr>
          <w:b/>
          <w:bCs/>
          <w:i w:val="false"/>
          <w:iCs w:val="false"/>
        </w:rPr>
        <w:t xml:space="preserve">Budget estimate:</w:t>
      </w:r>
      <w:r>
        <w:rPr>
          <w:b w:val="false"/>
          <w:bCs w:val="false"/>
          <w:i w:val="false"/>
          <w:iCs w:val="false"/>
        </w:rPr>
        <w:t xml:space="preserve"> €45,000 is stated, but the estimate basis and included cost categories are </w:t>
      </w:r>
      <w:r>
        <w:rPr>
          <w:b/>
          <w:bCs/>
          <w:i w:val="false"/>
          <w:iCs w:val="false"/>
        </w:rPr>
        <w:t xml:space="preserve">TBD — cost estimate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Requested funding:</w:t>
      </w:r>
      <w:r>
        <w:rPr>
          <w:b w:val="false"/>
          <w:bCs w:val="false"/>
          <w:i w:val="false"/>
          <w:iCs w:val="false"/>
        </w:rPr>
        <w:t xml:space="preserve"> </w:t>
      </w:r>
      <w:r>
        <w:rPr>
          <w:b/>
          <w:bCs/>
          <w:i w:val="false"/>
          <w:iCs w:val="false"/>
        </w:rPr>
        <w:t xml:space="preserve">TBD — funding request and funding source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Authorized budget:</w:t>
      </w:r>
      <w:r>
        <w:rPr>
          <w:b w:val="false"/>
          <w:bCs w:val="false"/>
          <w:i w:val="false"/>
          <w:iCs w:val="false"/>
        </w:rPr>
        <w:t xml:space="preserve"> </w:t>
      </w:r>
      <w:r>
        <w:rPr>
          <w:b/>
          <w:bCs/>
          <w:i w:val="false"/>
          <w:iCs w:val="false"/>
        </w:rPr>
        <w:t xml:space="preserve">TBD — sponsor or funding authority approval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Currency:</w:t>
      </w:r>
      <w:r>
        <w:rPr>
          <w:b w:val="false"/>
          <w:bCs w:val="false"/>
          <w:i w:val="false"/>
          <w:iCs w:val="false"/>
        </w:rPr>
        <w:t xml:space="preserve"> EUR is indicated by the euro symbol.</w:t>
      </w:r>
    </w:p>
    <w:p>
      <w:pPr>
        <w:pStyle w:val="ListParagraph"/>
        <w:numPr>
          <w:ilvl w:val="0"/>
          <w:numId w:val="2"/>
        </w:numPr>
        <w:spacing w:after="80" w:line="384"/>
      </w:pPr>
      <w:r>
        <w:rPr>
          <w:b/>
          <w:bCs/>
          <w:i w:val="false"/>
          <w:iCs w:val="false"/>
        </w:rPr>
        <w:t xml:space="preserve">Sponsor-approved limit:</w:t>
      </w:r>
      <w:r>
        <w:rPr>
          <w:b w:val="false"/>
          <w:bCs w:val="false"/>
          <w:i w:val="false"/>
          <w:iCs w:val="false"/>
        </w:rPr>
        <w:t xml:space="preserve"> </w:t>
      </w:r>
      <w:r>
        <w:rPr>
          <w:b/>
          <w:bCs/>
          <w:i w:val="false"/>
          <w:iCs w:val="false"/>
        </w:rPr>
        <w:t xml:space="preserve">TBD — approved funding limit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External provider cost:</w:t>
      </w:r>
      <w:r>
        <w:rPr>
          <w:b w:val="false"/>
          <w:bCs w:val="false"/>
          <w:i w:val="false"/>
          <w:iCs w:val="false"/>
        </w:rPr>
        <w:t xml:space="preserve"> </w:t>
      </w:r>
      <w:r>
        <w:rPr>
          <w:b/>
          <w:bCs/>
          <w:i w:val="false"/>
          <w:iCs w:val="false"/>
        </w:rPr>
        <w:t xml:space="preserve">TBD — provider quotation, contract, or cost allocation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Internal resource cost:</w:t>
      </w:r>
      <w:r>
        <w:rPr>
          <w:b w:val="false"/>
          <w:bCs w:val="false"/>
          <w:i w:val="false"/>
          <w:iCs w:val="false"/>
        </w:rPr>
        <w:t xml:space="preserve"> </w:t>
      </w:r>
      <w:r>
        <w:rPr>
          <w:b/>
          <w:bCs/>
          <w:i w:val="false"/>
          <w:iCs w:val="false"/>
        </w:rPr>
        <w:t xml:space="preserve">TBD — approved resource costing required</w:t>
      </w:r>
      <w:r>
        <w:rPr>
          <w:b w:val="false"/>
          <w:bCs w:val="false"/>
          <w:i w:val="false"/>
          <w:iCs w:val="false"/>
        </w:rPr>
        <w:t xml:space="preserve">.</w:t>
      </w:r>
    </w:p>
    <w:p>
      <w:pPr>
        <w:spacing w:after="180" w:line="384"/>
        <w:jc w:val="both"/>
      </w:pPr>
      <w:r>
        <w:rPr>
          <w:b w:val="false"/>
          <w:bCs w:val="false"/>
          <w:i w:val="false"/>
          <w:iCs w:val="false"/>
        </w:rPr>
        <w:t xml:space="preserve">The relationship between the €45,000 budget and the four-month duration is </w:t>
      </w:r>
      <w:r>
        <w:rPr>
          <w:b/>
          <w:bCs/>
          <w:i w:val="false"/>
          <w:iCs w:val="false"/>
        </w:rPr>
        <w:t xml:space="preserve">TBD — approved estimate and schedule basis required</w:t>
      </w:r>
      <w:r>
        <w:rPr>
          <w:b w:val="false"/>
          <w:bCs w:val="false"/>
          <w:i w:val="false"/>
          <w:iCs w:val="false"/>
        </w:rPr>
        <w:t xml:space="preserve">.</w:t>
      </w:r>
    </w:p>
    <w:p>
      <w:pPr>
        <w:keepNext/>
        <w:spacing w:after="160" w:before="400"/>
      </w:pPr>
      <w:r>
        <w:rPr>
          <w:b/>
          <w:bCs/>
          <w:i w:val="false"/>
          <w:iCs w:val="false"/>
          <w:color w:val="1F232B"/>
          <w:sz w:val="30"/>
          <w:szCs w:val="30"/>
        </w:rPr>
        <w:t xml:space="preserve">High-Level Risks</w:t>
      </w:r>
    </w:p>
    <w:p>
      <w:pPr>
        <w:spacing w:after="180" w:line="384"/>
        <w:jc w:val="both"/>
      </w:pPr>
      <w:r>
        <w:rPr>
          <w:b w:val="false"/>
          <w:bCs w:val="false"/>
          <w:i w:val="false"/>
          <w:iCs w:val="false"/>
        </w:rPr>
        <w:t xml:space="preserve">No risk register or approved risk assessment was supplied. Likelihood and impact are therefore not assigned.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83"/>
        <w:gridCol w:w="2358"/>
        <w:gridCol w:w="1647"/>
        <w:gridCol w:w="2032"/>
        <w:gridCol w:w="1867"/>
        <w:gridCol w:w="1867"/>
        <w:gridCol w:w="1687"/>
        <w:gridCol w:w="1929"/>
      </w:tblGrid>
      <w:tr>
        <w:trPr>
          <w:cantSplit/>
          <w:tblHeader/>
        </w:trPr>
        <w:tc>
          <w:tcPr>
            <w:tcW w:type="dxa" w:w="118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Risk Id</w:t>
            </w:r>
          </w:p>
        </w:tc>
        <w:tc>
          <w:tcPr>
            <w:tcW w:type="dxa" w:w="235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Cause</w:t>
            </w:r>
          </w:p>
        </w:tc>
        <w:tc>
          <w:tcPr>
            <w:tcW w:type="dxa" w:w="164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Risk Event</w:t>
            </w:r>
          </w:p>
        </w:tc>
        <w:tc>
          <w:tcPr>
            <w:tcW w:type="dxa" w:w="203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Consequence</w:t>
            </w:r>
          </w:p>
        </w:tc>
        <w:tc>
          <w:tcPr>
            <w:tcW w:type="dxa" w:w="186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Likelihood</w:t>
            </w:r>
          </w:p>
        </w:tc>
        <w:tc>
          <w:tcPr>
            <w:tcW w:type="dxa" w:w="186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Impact</w:t>
            </w:r>
          </w:p>
        </w:tc>
        <w:tc>
          <w:tcPr>
            <w:tcW w:type="dxa" w:w="168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Response</w:t>
            </w:r>
          </w:p>
        </w:tc>
        <w:tc>
          <w:tcPr>
            <w:tcW w:type="dxa" w:w="192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r>
      <w:tr>
        <w:trPr>
          <w:cantSplit/>
        </w:trPr>
        <w:tc>
          <w:tcPr>
            <w:tcW w:type="dxa" w:w="118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R-001</w:t>
            </w:r>
          </w:p>
        </w:tc>
        <w:tc>
          <w:tcPr>
            <w:tcW w:type="dxa" w:w="23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identification input required</w:t>
            </w:r>
          </w:p>
        </w:tc>
        <w:tc>
          <w:tcPr>
            <w:tcW w:type="dxa" w:w="164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register required</w:t>
            </w:r>
          </w:p>
        </w:tc>
        <w:tc>
          <w:tcPr>
            <w:tcW w:type="dxa" w:w="203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consequence assessment required</w:t>
            </w:r>
          </w:p>
        </w:tc>
        <w:tc>
          <w:tcPr>
            <w:tcW w:type="dxa" w:w="18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8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6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response planning required</w:t>
            </w:r>
          </w:p>
        </w:tc>
        <w:tc>
          <w:tcPr>
            <w:tcW w:type="dxa" w:w="192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assignment required</w:t>
            </w:r>
          </w:p>
        </w:tc>
      </w:tr>
    </w:tbl>
    <w:p>
      <w:pPr>
        <w:spacing w:after="120"/>
      </w:pPr>
    </w:p>
    <w:p>
      <w:pPr>
        <w:spacing w:after="180" w:line="384"/>
        <w:jc w:val="both"/>
      </w:pPr>
      <w:r>
        <w:rPr>
          <w:b w:val="false"/>
          <w:bCs w:val="false"/>
          <w:i w:val="false"/>
          <w:iCs w:val="false"/>
        </w:rPr>
        <w:t xml:space="preserve">Risks relating to technical migration, service interruption, data, security, customer access, provider dependency, cost, schedule, and operational readiness are </w:t>
      </w:r>
      <w:r>
        <w:rPr>
          <w:b/>
          <w:bCs/>
          <w:i w:val="false"/>
          <w:iCs w:val="false"/>
        </w:rPr>
        <w:t xml:space="preserve">TBD — approved risk identification and assessment required</w:t>
      </w:r>
      <w:r>
        <w:rPr>
          <w:b w:val="false"/>
          <w:bCs w:val="false"/>
          <w:i w:val="false"/>
          <w:iCs w:val="false"/>
        </w:rPr>
        <w:t xml:space="preserve">. Sponsor escalation criteria are also </w:t>
      </w:r>
      <w:r>
        <w:rPr>
          <w:b/>
          <w:bCs/>
          <w:i w:val="false"/>
          <w:iCs w:val="false"/>
        </w:rPr>
        <w:t xml:space="preserve">TBD — governance and risk escalation rules required</w:t>
      </w:r>
      <w:r>
        <w:rPr>
          <w:b w:val="false"/>
          <w:bCs w:val="false"/>
          <w:i w:val="false"/>
          <w:iCs w:val="false"/>
        </w:rPr>
        <w:t xml:space="preserve">.</w:t>
      </w:r>
    </w:p>
    <w:p>
      <w:pPr>
        <w:keepNext/>
        <w:spacing w:after="160" w:before="400"/>
      </w:pPr>
      <w:r>
        <w:rPr>
          <w:b/>
          <w:bCs/>
          <w:i w:val="false"/>
          <w:iCs w:val="false"/>
          <w:color w:val="1F232B"/>
          <w:sz w:val="30"/>
          <w:szCs w:val="30"/>
        </w:rPr>
        <w:t xml:space="preserve">Milestones</w:t>
      </w:r>
    </w:p>
    <w:p>
      <w:pPr>
        <w:spacing w:after="180" w:line="384"/>
        <w:jc w:val="both"/>
      </w:pPr>
      <w:r>
        <w:rPr>
          <w:b w:val="false"/>
          <w:bCs w:val="false"/>
          <w:i w:val="false"/>
          <w:iCs w:val="false"/>
        </w:rPr>
        <w:t xml:space="preserve">Only the overall four-month project duration has been supplied. Specific milestones, target dates, dependencies, decision gates, and owners are not available.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8"/>
        <w:gridCol w:w="2773"/>
        <w:gridCol w:w="2726"/>
        <w:gridCol w:w="2622"/>
        <w:gridCol w:w="2594"/>
        <w:gridCol w:w="1297"/>
      </w:tblGrid>
      <w:tr>
        <w:trPr>
          <w:cantSplit/>
          <w:tblHeader/>
        </w:trPr>
        <w:tc>
          <w:tcPr>
            <w:tcW w:type="dxa" w:w="255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Milestone</w:t>
            </w:r>
          </w:p>
        </w:tc>
        <w:tc>
          <w:tcPr>
            <w:tcW w:type="dxa" w:w="277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Target Date</w:t>
            </w:r>
          </w:p>
        </w:tc>
        <w:tc>
          <w:tcPr>
            <w:tcW w:type="dxa" w:w="272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Dependency</w:t>
            </w:r>
          </w:p>
        </w:tc>
        <w:tc>
          <w:tcPr>
            <w:tcW w:type="dxa" w:w="262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Decision Gate</w:t>
            </w:r>
          </w:p>
        </w:tc>
        <w:tc>
          <w:tcPr>
            <w:tcW w:type="dxa" w:w="259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129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25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authorization</w:t>
            </w:r>
          </w:p>
        </w:tc>
        <w:tc>
          <w:tcPr>
            <w:tcW w:type="dxa" w:w="27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schedule and authorization date required</w:t>
            </w:r>
          </w:p>
        </w:tc>
        <w:tc>
          <w:tcPr>
            <w:tcW w:type="dxa" w:w="27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Approval of charter, scope, funding, and governance are TBD</w:t>
            </w:r>
          </w:p>
        </w:tc>
        <w:tc>
          <w:tcPr>
            <w:tcW w:type="dxa" w:w="26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Sponsor authorization decision TBD</w:t>
            </w:r>
          </w:p>
        </w:tc>
        <w:tc>
          <w:tcPr>
            <w:tcW w:type="dxa" w:w="25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IT director sponsor role identified; formal ownership TBD</w:t>
            </w:r>
          </w:p>
        </w:tc>
        <w:tc>
          <w:tcPr>
            <w:tcW w:type="dxa" w:w="12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25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Corporate website migration milestone</w:t>
            </w:r>
          </w:p>
        </w:tc>
        <w:tc>
          <w:tcPr>
            <w:tcW w:type="dxa" w:w="27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milestone schedule required</w:t>
            </w:r>
          </w:p>
        </w:tc>
        <w:tc>
          <w:tcPr>
            <w:tcW w:type="dxa" w:w="27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migration dependencies required</w:t>
            </w:r>
          </w:p>
        </w:tc>
        <w:tc>
          <w:tcPr>
            <w:tcW w:type="dxa" w:w="26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or decision gate required</w:t>
            </w:r>
          </w:p>
        </w:tc>
        <w:tc>
          <w:tcPr>
            <w:tcW w:type="dxa" w:w="25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deliverable owner required</w:t>
            </w:r>
          </w:p>
        </w:tc>
        <w:tc>
          <w:tcPr>
            <w:tcW w:type="dxa" w:w="12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25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Customer portal migration milestone</w:t>
            </w:r>
          </w:p>
        </w:tc>
        <w:tc>
          <w:tcPr>
            <w:tcW w:type="dxa" w:w="27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milestone schedule required</w:t>
            </w:r>
          </w:p>
        </w:tc>
        <w:tc>
          <w:tcPr>
            <w:tcW w:type="dxa" w:w="27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migration dependencies required</w:t>
            </w:r>
          </w:p>
        </w:tc>
        <w:tc>
          <w:tcPr>
            <w:tcW w:type="dxa" w:w="26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or decision gate required</w:t>
            </w:r>
          </w:p>
        </w:tc>
        <w:tc>
          <w:tcPr>
            <w:tcW w:type="dxa" w:w="25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deliverable owner required</w:t>
            </w:r>
          </w:p>
        </w:tc>
        <w:tc>
          <w:tcPr>
            <w:tcW w:type="dxa" w:w="12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r>
        <w:trPr>
          <w:cantSplit/>
        </w:trPr>
        <w:tc>
          <w:tcPr>
            <w:tcW w:type="dxa" w:w="25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completion and acceptance</w:t>
            </w:r>
          </w:p>
        </w:tc>
        <w:tc>
          <w:tcPr>
            <w:tcW w:type="dxa" w:w="27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milestone schedule required</w:t>
            </w:r>
          </w:p>
        </w:tc>
        <w:tc>
          <w:tcPr>
            <w:tcW w:type="dxa" w:w="27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criteria and operational readiness required</w:t>
            </w:r>
          </w:p>
        </w:tc>
        <w:tc>
          <w:tcPr>
            <w:tcW w:type="dxa" w:w="26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completion approval required</w:t>
            </w:r>
          </w:p>
        </w:tc>
        <w:tc>
          <w:tcPr>
            <w:tcW w:type="dxa" w:w="25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owner required</w:t>
            </w:r>
          </w:p>
        </w:tc>
        <w:tc>
          <w:tcPr>
            <w:tcW w:type="dxa" w:w="12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r>
    </w:tbl>
    <w:p>
      <w:pPr>
        <w:spacing w:after="120"/>
      </w:pPr>
    </w:p>
    <w:p>
      <w:pPr>
        <w:spacing w:after="180" w:line="384"/>
        <w:jc w:val="both"/>
      </w:pPr>
      <w:r>
        <w:rPr>
          <w:b w:val="false"/>
          <w:bCs w:val="false"/>
          <w:i w:val="false"/>
          <w:iCs w:val="false"/>
        </w:rPr>
        <w:t xml:space="preserve">The four-month duration is an indicative planning parameter from the supplied brief and is not treated as a detailed milestone commitment.</w:t>
      </w:r>
    </w:p>
    <w:p>
      <w:pPr>
        <w:keepNext/>
        <w:spacing w:after="160" w:before="400"/>
      </w:pPr>
      <w:r>
        <w:rPr>
          <w:b/>
          <w:bCs/>
          <w:i w:val="false"/>
          <w:iCs w:val="false"/>
          <w:color w:val="1F232B"/>
          <w:sz w:val="30"/>
          <w:szCs w:val="30"/>
        </w:rPr>
        <w:t xml:space="preserve">Success Criteria and KPIs</w:t>
      </w:r>
    </w:p>
    <w:p>
      <w:pPr>
        <w:spacing w:after="180" w:line="384"/>
        <w:jc w:val="both"/>
      </w:pPr>
      <w:r>
        <w:rPr>
          <w:b w:val="false"/>
          <w:bCs w:val="false"/>
          <w:i w:val="false"/>
          <w:iCs w:val="false"/>
        </w:rPr>
        <w:t xml:space="preserve">No approved objectives, success criteria, KPI definitions, baselines, targets, owners, evidence sources, cadences, or acceptance dates were supplied.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79"/>
        <w:gridCol w:w="2287"/>
        <w:gridCol w:w="1836"/>
        <w:gridCol w:w="2479"/>
        <w:gridCol w:w="1958"/>
        <w:gridCol w:w="1981"/>
        <w:gridCol w:w="1950"/>
      </w:tblGrid>
      <w:tr>
        <w:trPr>
          <w:cantSplit/>
          <w:tblHeader/>
        </w:trPr>
        <w:tc>
          <w:tcPr>
            <w:tcW w:type="dxa" w:w="207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Measure</w:t>
            </w:r>
          </w:p>
        </w:tc>
        <w:tc>
          <w:tcPr>
            <w:tcW w:type="dxa" w:w="228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Definition</w:t>
            </w:r>
          </w:p>
        </w:tc>
        <w:tc>
          <w:tcPr>
            <w:tcW w:type="dxa" w:w="183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Baseline</w:t>
            </w:r>
          </w:p>
        </w:tc>
        <w:tc>
          <w:tcPr>
            <w:tcW w:type="dxa" w:w="247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Target</w:t>
            </w:r>
          </w:p>
        </w:tc>
        <w:tc>
          <w:tcPr>
            <w:tcW w:type="dxa" w:w="195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Unit</w:t>
            </w:r>
          </w:p>
        </w:tc>
        <w:tc>
          <w:tcPr>
            <w:tcW w:type="dxa" w:w="198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w:t>
            </w:r>
          </w:p>
        </w:tc>
        <w:tc>
          <w:tcPr>
            <w:tcW w:type="dxa" w:w="195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Cadence</w:t>
            </w:r>
          </w:p>
        </w:tc>
      </w:tr>
      <w:tr>
        <w:trPr>
          <w:cantSplit/>
        </w:trPr>
        <w:tc>
          <w:tcPr>
            <w:tcW w:type="dxa" w:w="20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duration</w:t>
            </w:r>
          </w:p>
        </w:tc>
        <w:tc>
          <w:tcPr>
            <w:tcW w:type="dxa" w:w="22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Duration from approved project start to approved completion</w:t>
            </w:r>
          </w:p>
        </w:tc>
        <w:tc>
          <w:tcPr>
            <w:tcW w:type="dxa" w:w="18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schedule baseline required</w:t>
            </w:r>
          </w:p>
        </w:tc>
        <w:tc>
          <w:tcPr>
            <w:tcW w:type="dxa" w:w="24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Four months stated as the expected project duration; commitment status TBD — approved schedule required</w:t>
            </w:r>
          </w:p>
        </w:tc>
        <w:tc>
          <w:tcPr>
            <w:tcW w:type="dxa" w:w="19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Months</w:t>
            </w:r>
          </w:p>
        </w:tc>
        <w:tc>
          <w:tcPr>
            <w:tcW w:type="dxa" w:w="19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project brief; schedule evidence TBD</w:t>
            </w:r>
          </w:p>
        </w:tc>
        <w:tc>
          <w:tcPr>
            <w:tcW w:type="dxa" w:w="195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reporting cadence required</w:t>
            </w:r>
          </w:p>
        </w:tc>
      </w:tr>
      <w:tr>
        <w:trPr>
          <w:cantSplit/>
        </w:trPr>
        <w:tc>
          <w:tcPr>
            <w:tcW w:type="dxa" w:w="20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Budget</w:t>
            </w:r>
          </w:p>
        </w:tc>
        <w:tc>
          <w:tcPr>
            <w:tcW w:type="dxa" w:w="22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Project expenditure or approved project cost</w:t>
            </w:r>
          </w:p>
        </w:tc>
        <w:tc>
          <w:tcPr>
            <w:tcW w:type="dxa" w:w="18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cost baseline required</w:t>
            </w:r>
          </w:p>
        </w:tc>
        <w:tc>
          <w:tcPr>
            <w:tcW w:type="dxa" w:w="24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€45,000 stated; whether this is an authorized target or estimate is TBD — funding approval required</w:t>
            </w:r>
          </w:p>
        </w:tc>
        <w:tc>
          <w:tcPr>
            <w:tcW w:type="dxa" w:w="19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EUR</w:t>
            </w:r>
          </w:p>
        </w:tc>
        <w:tc>
          <w:tcPr>
            <w:tcW w:type="dxa" w:w="19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Supplied project brief; financial evidence TBD</w:t>
            </w:r>
          </w:p>
        </w:tc>
        <w:tc>
          <w:tcPr>
            <w:tcW w:type="dxa" w:w="195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financial reporting cadence required</w:t>
            </w:r>
          </w:p>
        </w:tc>
      </w:tr>
      <w:tr>
        <w:trPr>
          <w:cantSplit/>
        </w:trPr>
        <w:tc>
          <w:tcPr>
            <w:tcW w:type="dxa" w:w="20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Corporate website migration outcome</w:t>
            </w:r>
          </w:p>
        </w:tc>
        <w:tc>
          <w:tcPr>
            <w:tcW w:type="dxa" w:w="22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objective and acceptance definition required</w:t>
            </w:r>
          </w:p>
        </w:tc>
        <w:tc>
          <w:tcPr>
            <w:tcW w:type="dxa" w:w="18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required</w:t>
            </w:r>
          </w:p>
        </w:tc>
        <w:tc>
          <w:tcPr>
            <w:tcW w:type="dxa" w:w="24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target required</w:t>
            </w:r>
          </w:p>
        </w:tc>
        <w:tc>
          <w:tcPr>
            <w:tcW w:type="dxa" w:w="19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measure definition required</w:t>
            </w:r>
          </w:p>
        </w:tc>
        <w:tc>
          <w:tcPr>
            <w:tcW w:type="dxa" w:w="19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evidence source required</w:t>
            </w:r>
          </w:p>
        </w:tc>
        <w:tc>
          <w:tcPr>
            <w:tcW w:type="dxa" w:w="195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KPI cadence required</w:t>
            </w:r>
          </w:p>
        </w:tc>
      </w:tr>
      <w:tr>
        <w:trPr>
          <w:cantSplit/>
        </w:trPr>
        <w:tc>
          <w:tcPr>
            <w:tcW w:type="dxa" w:w="20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Customer portal migration outcome</w:t>
            </w:r>
          </w:p>
        </w:tc>
        <w:tc>
          <w:tcPr>
            <w:tcW w:type="dxa" w:w="22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objective and acceptance definition required</w:t>
            </w:r>
          </w:p>
        </w:tc>
        <w:tc>
          <w:tcPr>
            <w:tcW w:type="dxa" w:w="18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required</w:t>
            </w:r>
          </w:p>
        </w:tc>
        <w:tc>
          <w:tcPr>
            <w:tcW w:type="dxa" w:w="24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target required</w:t>
            </w:r>
          </w:p>
        </w:tc>
        <w:tc>
          <w:tcPr>
            <w:tcW w:type="dxa" w:w="19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measure definition required</w:t>
            </w:r>
          </w:p>
        </w:tc>
        <w:tc>
          <w:tcPr>
            <w:tcW w:type="dxa" w:w="19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evidence source required</w:t>
            </w:r>
          </w:p>
        </w:tc>
        <w:tc>
          <w:tcPr>
            <w:tcW w:type="dxa" w:w="195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KPI cadence required</w:t>
            </w:r>
          </w:p>
        </w:tc>
      </w:tr>
      <w:tr>
        <w:trPr>
          <w:cantSplit/>
        </w:trPr>
        <w:tc>
          <w:tcPr>
            <w:tcW w:type="dxa" w:w="20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Stakeholder or service outcome</w:t>
            </w:r>
          </w:p>
        </w:tc>
        <w:tc>
          <w:tcPr>
            <w:tcW w:type="dxa" w:w="22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success criterion required</w:t>
            </w:r>
          </w:p>
        </w:tc>
        <w:tc>
          <w:tcPr>
            <w:tcW w:type="dxa" w:w="183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required</w:t>
            </w:r>
          </w:p>
        </w:tc>
        <w:tc>
          <w:tcPr>
            <w:tcW w:type="dxa" w:w="247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target required</w:t>
            </w:r>
          </w:p>
        </w:tc>
        <w:tc>
          <w:tcPr>
            <w:tcW w:type="dxa" w:w="19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measure definition required</w:t>
            </w:r>
          </w:p>
        </w:tc>
        <w:tc>
          <w:tcPr>
            <w:tcW w:type="dxa" w:w="19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approved evidence source required</w:t>
            </w:r>
          </w:p>
        </w:tc>
        <w:tc>
          <w:tcPr>
            <w:tcW w:type="dxa" w:w="195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KPI cadence required</w:t>
            </w:r>
          </w:p>
        </w:tc>
      </w:tr>
    </w:tbl>
    <w:p>
      <w:pPr>
        <w:spacing w:after="120"/>
      </w:pPr>
    </w:p>
    <w:p>
      <w:pPr>
        <w:spacing w:after="180" w:line="384"/>
        <w:jc w:val="both"/>
      </w:pPr>
      <w:r>
        <w:rPr>
          <w:b w:val="false"/>
          <w:bCs w:val="false"/>
          <w:i w:val="false"/>
          <w:iCs w:val="false"/>
        </w:rPr>
        <w:t xml:space="preserve">The approving authority for success criteria and KPIs is </w:t>
      </w:r>
      <w:r>
        <w:rPr>
          <w:b/>
          <w:bCs/>
          <w:i w:val="false"/>
          <w:iCs w:val="false"/>
        </w:rPr>
        <w:t xml:space="preserve">TBD — approved governance and acceptance authority required</w:t>
      </w:r>
      <w:r>
        <w:rPr>
          <w:b w:val="false"/>
          <w:bCs w:val="false"/>
          <w:i w:val="false"/>
          <w:iCs w:val="false"/>
        </w:rPr>
        <w:t xml:space="preserve">.</w:t>
      </w:r>
    </w:p>
    <w:p>
      <w:pPr>
        <w:keepNext/>
        <w:spacing w:after="160" w:before="400"/>
      </w:pPr>
      <w:r>
        <w:rPr>
          <w:b/>
          <w:bCs/>
          <w:i w:val="false"/>
          <w:iCs w:val="false"/>
          <w:color w:val="1F232B"/>
          <w:sz w:val="30"/>
          <w:szCs w:val="30"/>
        </w:rPr>
        <w:t xml:space="preserve">Approval and Sign-off</w:t>
      </w:r>
    </w:p>
    <w:p>
      <w:pPr>
        <w:spacing w:after="180" w:line="384"/>
        <w:jc w:val="both"/>
      </w:pPr>
      <w:r>
        <w:rPr>
          <w:b w:val="false"/>
          <w:bCs w:val="false"/>
          <w:i w:val="false"/>
          <w:iCs w:val="false"/>
        </w:rPr>
        <w:t xml:space="preserve">Authorization is requested to proceed with the cloud migration project covering the corporate website and customer portal, subject to confirmation of scope, objectives, funding, governance, risks, deliverables, milestones, and acceptance criteria.</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2556"/>
        <w:gridCol w:w="3425"/>
        <w:gridCol w:w="1899"/>
        <w:gridCol w:w="3015"/>
        <w:gridCol w:w="1392"/>
      </w:tblGrid>
      <w:tr>
        <w:trPr>
          <w:cantSplit/>
          <w:tblHeader/>
        </w:trPr>
        <w:tc>
          <w:tcPr>
            <w:tcW w:type="dxa" w:w="228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Authority</w:t>
            </w:r>
          </w:p>
        </w:tc>
        <w:tc>
          <w:tcPr>
            <w:tcW w:type="dxa" w:w="255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Decision</w:t>
            </w:r>
          </w:p>
        </w:tc>
        <w:tc>
          <w:tcPr>
            <w:tcW w:type="dxa" w:w="342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Conditions</w:t>
            </w:r>
          </w:p>
        </w:tc>
        <w:tc>
          <w:tcPr>
            <w:tcW w:type="dxa" w:w="189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Decision Date</w:t>
            </w:r>
          </w:p>
        </w:tc>
        <w:tc>
          <w:tcPr>
            <w:tcW w:type="dxa" w:w="301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Rationale</w:t>
            </w:r>
          </w:p>
        </w:tc>
        <w:tc>
          <w:tcPr>
            <w:tcW w:type="dxa" w:w="139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228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IT director — sponsor role identified</w:t>
            </w:r>
          </w:p>
        </w:tc>
        <w:tc>
          <w:tcPr>
            <w:tcW w:type="dxa" w:w="255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Authorize, defer, reject, or request further analysis — decision TBD</w:t>
            </w:r>
          </w:p>
        </w:tc>
        <w:tc>
          <w:tcPr>
            <w:tcW w:type="dxa" w:w="34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Confirmed scope, objectives, deliverables, funding, governance, risks, milestones, and success criteria are TBD — approval conditions required</w:t>
            </w:r>
          </w:p>
        </w:tc>
        <w:tc>
          <w:tcPr>
            <w:tcW w:type="dxa" w:w="189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date required</w:t>
            </w:r>
          </w:p>
        </w:tc>
        <w:tc>
          <w:tcPr>
            <w:tcW w:type="dxa" w:w="30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Business justification and sponsor rationale are TBD — approved justification required</w:t>
            </w:r>
          </w:p>
        </w:tc>
        <w:tc>
          <w:tcPr>
            <w:tcW w:type="dxa" w:w="13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Pending</w:t>
            </w:r>
          </w:p>
        </w:tc>
      </w:tr>
      <w:tr>
        <w:trPr>
          <w:cantSplit/>
        </w:trPr>
        <w:tc>
          <w:tcPr>
            <w:tcW w:type="dxa" w:w="228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Funding authority</w:t>
            </w:r>
          </w:p>
        </w:tc>
        <w:tc>
          <w:tcPr>
            <w:tcW w:type="dxa" w:w="255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or reject the stated €45,000 budget — decision TBD</w:t>
            </w:r>
          </w:p>
        </w:tc>
        <w:tc>
          <w:tcPr>
            <w:tcW w:type="dxa" w:w="34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Funding source, estimate basis, and authorized limit are TBD — funding approval required</w:t>
            </w:r>
          </w:p>
        </w:tc>
        <w:tc>
          <w:tcPr>
            <w:tcW w:type="dxa" w:w="189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date required</w:t>
            </w:r>
          </w:p>
        </w:tc>
        <w:tc>
          <w:tcPr>
            <w:tcW w:type="dxa" w:w="30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funding rationale required</w:t>
            </w:r>
          </w:p>
        </w:tc>
        <w:tc>
          <w:tcPr>
            <w:tcW w:type="dxa" w:w="13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Pending</w:t>
            </w:r>
          </w:p>
        </w:tc>
      </w:tr>
      <w:tr>
        <w:trPr>
          <w:cantSplit/>
        </w:trPr>
        <w:tc>
          <w:tcPr>
            <w:tcW w:type="dxa" w:w="228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Governance authority or steering committee</w:t>
            </w:r>
          </w:p>
        </w:tc>
        <w:tc>
          <w:tcPr>
            <w:tcW w:type="dxa" w:w="255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Establish governance and change authority — decision TBD</w:t>
            </w:r>
          </w:p>
        </w:tc>
        <w:tc>
          <w:tcPr>
            <w:tcW w:type="dxa" w:w="34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Governance body, decision rights, escalation routes, and scope-change authority are TBD — governance decision required</w:t>
            </w:r>
          </w:p>
        </w:tc>
        <w:tc>
          <w:tcPr>
            <w:tcW w:type="dxa" w:w="189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date required</w:t>
            </w:r>
          </w:p>
        </w:tc>
        <w:tc>
          <w:tcPr>
            <w:tcW w:type="dxa" w:w="30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rationale required</w:t>
            </w:r>
          </w:p>
        </w:tc>
        <w:tc>
          <w:tcPr>
            <w:tcW w:type="dxa" w:w="13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Pending</w:t>
            </w:r>
          </w:p>
        </w:tc>
      </w:tr>
      <w:tr>
        <w:trPr>
          <w:cantSplit/>
        </w:trPr>
        <w:tc>
          <w:tcPr>
            <w:tcW w:type="dxa" w:w="228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Acceptance authority</w:t>
            </w:r>
          </w:p>
        </w:tc>
        <w:tc>
          <w:tcPr>
            <w:tcW w:type="dxa" w:w="255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completion and success criteria — decision TBD</w:t>
            </w:r>
          </w:p>
        </w:tc>
        <w:tc>
          <w:tcPr>
            <w:tcW w:type="dxa" w:w="34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Acceptance conditions, KPI targets, and acceptance date are TBD — approved acceptance criteria required</w:t>
            </w:r>
          </w:p>
        </w:tc>
        <w:tc>
          <w:tcPr>
            <w:tcW w:type="dxa" w:w="189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date required</w:t>
            </w:r>
          </w:p>
        </w:tc>
        <w:tc>
          <w:tcPr>
            <w:tcW w:type="dxa" w:w="301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rationale required</w:t>
            </w:r>
          </w:p>
        </w:tc>
        <w:tc>
          <w:tcPr>
            <w:tcW w:type="dxa" w:w="13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Pending</w:t>
            </w:r>
          </w:p>
        </w:tc>
      </w:tr>
    </w:tbl>
    <w:p>
      <w:pPr>
        <w:spacing w:after="120"/>
      </w:pPr>
    </w:p>
    <w:p>
      <w:pPr>
        <w:spacing w:after="180" w:line="384"/>
        <w:jc w:val="both"/>
      </w:pPr>
      <w:r>
        <w:rPr>
          <w:b w:val="false"/>
          <w:bCs w:val="false"/>
          <w:i w:val="false"/>
          <w:iCs w:val="false"/>
        </w:rPr>
        <w:t xml:space="preserve">No completed approval or sign-off evidence was supplied. Formal authorization status is therefore </w:t>
      </w:r>
      <w:r>
        <w:rPr>
          <w:b/>
          <w:bCs/>
          <w:i w:val="false"/>
          <w:iCs w:val="false"/>
        </w:rPr>
        <w:t xml:space="preserve">TBD — signed charter or decision record required</w:t>
      </w:r>
      <w:r>
        <w:rPr>
          <w:b w:val="false"/>
          <w:bCs w:val="false"/>
          <w:i w:val="false"/>
          <w:iCs w:val="false"/>
        </w:rPr>
        <w:t xml:space="preserve">.</w:t>
      </w:r>
    </w:p>
    <w:p>
      <w:pPr>
        <w:keepNext/>
        <w:spacing w:after="160" w:before="400"/>
      </w:pPr>
      <w:r>
        <w:rPr>
          <w:b/>
          <w:bCs/>
          <w:i w:val="false"/>
          <w:iCs w:val="false"/>
          <w:color w:val="1F232B"/>
          <w:sz w:val="30"/>
          <w:szCs w:val="30"/>
        </w:rPr>
        <w:t xml:space="preserve">Recommendation</w:t>
      </w:r>
    </w:p>
    <w:p>
      <w:pPr>
        <w:spacing w:after="180" w:line="384"/>
        <w:jc w:val="both"/>
      </w:pPr>
      <w:r>
        <w:rPr>
          <w:b w:val="false"/>
          <w:bCs w:val="false"/>
          <w:i w:val="false"/>
          <w:iCs w:val="false"/>
        </w:rPr>
        <w:t xml:space="preserve">Recommend </w:t>
      </w:r>
      <w:r>
        <w:rPr>
          <w:b/>
          <w:bCs/>
          <w:i w:val="false"/>
          <w:iCs w:val="false"/>
        </w:rPr>
        <w:t xml:space="preserve">further analysis before formal authorization</w:t>
      </w:r>
      <w:r>
        <w:rPr>
          <w:b w:val="false"/>
          <w:bCs w:val="false"/>
          <w:i w:val="false"/>
          <w:iCs w:val="false"/>
        </w:rPr>
        <w:t xml:space="preserve">, because the supplied brief establishes the proposed migration, indicative four-month duration, stated €45,000 budget, core team, and sponsor role, but does not establish the objectives, scope boundaries, deliverables, stakeholder requirements, governance authority, risk position, milestone schedule, success criteria, or approval conditions required for a complete authorization decision.</w:t>
      </w:r>
    </w:p>
    <w:p>
      <w:pPr>
        <w:spacing w:after="180" w:line="384"/>
        <w:jc w:val="both"/>
      </w:pPr>
      <w:r>
        <w:rPr>
          <w:b w:val="false"/>
          <w:bCs w:val="false"/>
          <w:i w:val="false"/>
          <w:iCs w:val="false"/>
        </w:rPr>
        <w:t xml:space="preserve">The proposed project boundary is the migration of the corporate website and customer portal from company-owned servers to the cloud. The proposed resource model is one project manager, two developers, and an external cloud provider. The stated funding parameter is €45,000, and the stated duration is four months; both require confirmation as authorized commitments.</w:t>
      </w:r>
    </w:p>
    <w:p>
      <w:pPr>
        <w:spacing w:after="180" w:line="384"/>
        <w:jc w:val="both"/>
      </w:pPr>
      <w:r>
        <w:rPr>
          <w:b w:val="false"/>
          <w:bCs w:val="false"/>
          <w:i w:val="false"/>
          <w:iCs w:val="false"/>
        </w:rPr>
        <w:t xml:space="preserve">Before authorization, the sponsor or delegated governance authority should confirm:</w:t>
      </w:r>
    </w:p>
    <w:p>
      <w:pPr>
        <w:pStyle w:val="ListParagraph"/>
        <w:numPr>
          <w:ilvl w:val="0"/>
          <w:numId w:val="2"/>
        </w:numPr>
        <w:spacing w:after="80" w:line="384"/>
      </w:pPr>
      <w:r>
        <w:rPr>
          <w:b w:val="false"/>
          <w:bCs w:val="false"/>
          <w:i w:val="false"/>
          <w:iCs w:val="false"/>
        </w:rPr>
        <w:t xml:space="preserve">Approved business justification and expected outcomes.</w:t>
      </w:r>
    </w:p>
    <w:p>
      <w:pPr>
        <w:pStyle w:val="ListParagraph"/>
        <w:numPr>
          <w:ilvl w:val="0"/>
          <w:numId w:val="2"/>
        </w:numPr>
        <w:spacing w:after="80" w:line="384"/>
      </w:pPr>
      <w:r>
        <w:rPr>
          <w:b w:val="false"/>
          <w:bCs w:val="false"/>
          <w:i w:val="false"/>
          <w:iCs w:val="false"/>
        </w:rPr>
        <w:t xml:space="preserve">Objectives with measures, targets, owners, and timeframes.</w:t>
      </w:r>
    </w:p>
    <w:p>
      <w:pPr>
        <w:pStyle w:val="ListParagraph"/>
        <w:numPr>
          <w:ilvl w:val="0"/>
          <w:numId w:val="2"/>
        </w:numPr>
        <w:spacing w:after="80" w:line="384"/>
      </w:pPr>
      <w:r>
        <w:rPr>
          <w:b w:val="false"/>
          <w:bCs w:val="false"/>
          <w:i w:val="false"/>
          <w:iCs w:val="false"/>
        </w:rPr>
        <w:t xml:space="preserve">Included and excluded scope.</w:t>
      </w:r>
    </w:p>
    <w:p>
      <w:pPr>
        <w:pStyle w:val="ListParagraph"/>
        <w:numPr>
          <w:ilvl w:val="0"/>
          <w:numId w:val="2"/>
        </w:numPr>
        <w:spacing w:after="80" w:line="384"/>
      </w:pPr>
      <w:r>
        <w:rPr>
          <w:b w:val="false"/>
          <w:bCs w:val="false"/>
          <w:i w:val="false"/>
          <w:iCs w:val="false"/>
        </w:rPr>
        <w:t xml:space="preserve">Deliverables and acceptance conditions.</w:t>
      </w:r>
    </w:p>
    <w:p>
      <w:pPr>
        <w:pStyle w:val="ListParagraph"/>
        <w:numPr>
          <w:ilvl w:val="0"/>
          <w:numId w:val="2"/>
        </w:numPr>
        <w:spacing w:after="80" w:line="384"/>
      </w:pPr>
      <w:r>
        <w:rPr>
          <w:b w:val="false"/>
          <w:bCs w:val="false"/>
          <w:i w:val="false"/>
          <w:iCs w:val="false"/>
        </w:rPr>
        <w:t xml:space="preserve">Stakeholder responsibilities and consultation requirements.</w:t>
      </w:r>
    </w:p>
    <w:p>
      <w:pPr>
        <w:pStyle w:val="ListParagraph"/>
        <w:numPr>
          <w:ilvl w:val="0"/>
          <w:numId w:val="2"/>
        </w:numPr>
        <w:spacing w:after="80" w:line="384"/>
      </w:pPr>
      <w:r>
        <w:rPr>
          <w:b w:val="false"/>
          <w:bCs w:val="false"/>
          <w:i w:val="false"/>
          <w:iCs w:val="false"/>
        </w:rPr>
        <w:t xml:space="preserve">Governance structure, decision rights, escalation routes, and change authority.</w:t>
      </w:r>
    </w:p>
    <w:p>
      <w:pPr>
        <w:pStyle w:val="ListParagraph"/>
        <w:numPr>
          <w:ilvl w:val="0"/>
          <w:numId w:val="2"/>
        </w:numPr>
        <w:spacing w:after="80" w:line="384"/>
      </w:pPr>
      <w:r>
        <w:rPr>
          <w:b w:val="false"/>
          <w:bCs w:val="false"/>
          <w:i w:val="false"/>
          <w:iCs w:val="false"/>
        </w:rPr>
        <w:t xml:space="preserve">Resource capacity and external provider responsibilities.</w:t>
      </w:r>
    </w:p>
    <w:p>
      <w:pPr>
        <w:pStyle w:val="ListParagraph"/>
        <w:numPr>
          <w:ilvl w:val="0"/>
          <w:numId w:val="2"/>
        </w:numPr>
        <w:spacing w:after="80" w:line="384"/>
      </w:pPr>
      <w:r>
        <w:rPr>
          <w:b w:val="false"/>
          <w:bCs w:val="false"/>
          <w:i w:val="false"/>
          <w:iCs w:val="false"/>
        </w:rPr>
        <w:t xml:space="preserve">Budget basis, funding source, and authorized limit.</w:t>
      </w:r>
    </w:p>
    <w:p>
      <w:pPr>
        <w:pStyle w:val="ListParagraph"/>
        <w:numPr>
          <w:ilvl w:val="0"/>
          <w:numId w:val="2"/>
        </w:numPr>
        <w:spacing w:after="80" w:line="384"/>
      </w:pPr>
      <w:r>
        <w:rPr>
          <w:b w:val="false"/>
          <w:bCs w:val="false"/>
          <w:i w:val="false"/>
          <w:iCs w:val="false"/>
        </w:rPr>
        <w:t xml:space="preserve">High-level risks and assigned owners.</w:t>
      </w:r>
    </w:p>
    <w:p>
      <w:pPr>
        <w:pStyle w:val="ListParagraph"/>
        <w:numPr>
          <w:ilvl w:val="0"/>
          <w:numId w:val="2"/>
        </w:numPr>
        <w:spacing w:after="80" w:line="384"/>
      </w:pPr>
      <w:r>
        <w:rPr>
          <w:b w:val="false"/>
          <w:bCs w:val="false"/>
          <w:i w:val="false"/>
          <w:iCs w:val="false"/>
        </w:rPr>
        <w:t xml:space="preserve">Milestones and decision gates.</w:t>
      </w:r>
    </w:p>
    <w:p>
      <w:pPr>
        <w:pStyle w:val="ListParagraph"/>
        <w:numPr>
          <w:ilvl w:val="0"/>
          <w:numId w:val="2"/>
        </w:numPr>
        <w:spacing w:after="80" w:line="384"/>
      </w:pPr>
      <w:r>
        <w:rPr>
          <w:b w:val="false"/>
          <w:bCs w:val="false"/>
          <w:i w:val="false"/>
          <w:iCs w:val="false"/>
        </w:rPr>
        <w:t xml:space="preserve">Success criteria and KPI approval authority.</w:t>
      </w:r>
    </w:p>
    <w:p>
      <w:pPr>
        <w:pStyle w:val="ListParagraph"/>
        <w:numPr>
          <w:ilvl w:val="0"/>
          <w:numId w:val="2"/>
        </w:numPr>
        <w:spacing w:after="240" w:line="384"/>
      </w:pPr>
      <w:r>
        <w:rPr>
          <w:b w:val="false"/>
          <w:bCs w:val="false"/>
          <w:i w:val="false"/>
          <w:iCs w:val="false"/>
        </w:rPr>
        <w:t xml:space="preserve">Required signatories and approval conditions.</w:t>
      </w:r>
    </w:p>
    <w:p>
      <w:pPr>
        <w:spacing w:after="180" w:line="384"/>
        <w:jc w:val="both"/>
      </w:pPr>
      <w:r>
        <w:rPr>
          <w:b w:val="false"/>
          <w:bCs w:val="false"/>
          <w:i w:val="false"/>
          <w:iCs w:val="false"/>
        </w:rPr>
        <w:t xml:space="preserve">On the available evidence, authorization is </w:t>
      </w:r>
      <w:r>
        <w:rPr>
          <w:b/>
          <w:bCs/>
          <w:i w:val="false"/>
          <w:iCs w:val="false"/>
        </w:rPr>
        <w:t xml:space="preserve">not yet supported — completed business case, scope, governance, funding, risk, schedule, success criteria, and approval inputs required</w:t>
      </w:r>
      <w:r>
        <w:rPr>
          <w:b w:val="false"/>
          <w:bCs w:val="false"/>
          <w:i w:val="false"/>
          <w:iCs w:val="false"/>
        </w:rPr>
        <w:t xml:space="preserve">.</w:t>
      </w:r>
    </w:p>
    <w:sectPr>
      <w:footerReference w:type="default" r:id="rId7"/>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B7079"/>
        <w:sz w:val="18"/>
        <w:szCs w:val="18"/>
      </w:rPr>
      <w:t xml:space="preserve">AI-generated with Baaito – review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300"/>
      </w:pPr>
    </w:lvl>
  </w:abstractNum>
  <w:abstractNum w:abstractNumId="3" w15:restartNumberingAfterBreak="0">
    <w:multiLevelType w:val="hybridMultilevel"/>
    <w:lvl w:ilvl="0" w15:tentative="1">
      <w:start w:val="1"/>
      <w:numFmt w:val="decimal"/>
      <w:lvlText w:val="%1."/>
      <w:lvlJc w:val="star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B"/>
        <w:sz w:val="21"/>
        <w:szCs w:val="21"/>
      </w:rPr>
    </w:rPrDefault>
    <w:pPrDefault>
      <w:pPr>
        <w:spacing w:line="38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 Website Migration to the Cloud</dc:title>
  <dc:subject>AI-generated document</dc:subject>
  <dc:creator>Baaito (AI-generated)</dc:creator>
  <cp:keywords>AI-generated, Baaito</cp:keywords>
  <dc:description>Generator: Baaito (AI-generated), model: gpt-5.6-luna, date: 2026-10-28</dc:description>
  <cp:lastModifiedBy>Baaito</cp:lastModifiedBy>
  <cp:revision>1</cp:revision>
  <dcterms:created xsi:type="dcterms:W3CDTF">2026-10-28T19:18:46.324Z</dcterms:created>
  <dcterms:modified xsi:type="dcterms:W3CDTF">2026-10-28T19:18:46.324Z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Baaito (AI-generated)</vt:lpwstr>
  </property>
  <property fmtid="{D5CDD505-2E9C-101B-9397-08002B2CF9AE}" pid="3" name="AI model">
    <vt:lpwstr>gpt-5.6-luna</vt:lpwstr>
  </property>
  <property fmtid="{D5CDD505-2E9C-101B-9397-08002B2CF9AE}" pid="4" name="Generated">
    <vt:lpwstr>2026-10-28</vt:lpwstr>
  </property>
</Properties>
</file>