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8DBE0" w:sz="4" w:space="8"/>
        </w:pBdr>
        <w:spacing w:after="240"/>
      </w:pPr>
      <w:r>
        <w:rPr>
          <w:rFonts w:ascii="Calibri" w:cs="Calibri" w:eastAsia="Calibri" w:hAnsi="Calibri"/>
          <w:b/>
          <w:bCs/>
          <w:color w:val="1F232B"/>
          <w:sz w:val="36"/>
          <w:szCs w:val="36"/>
        </w:rPr>
        <w:t xml:space="preserve">Project Charter — Migrácia firemného webu do cloudu</w:t>
      </w:r>
    </w:p>
    <w:p>
      <w:pPr>
        <w:keepNext/>
        <w:spacing w:after="200" w:before="0"/>
      </w:pPr>
      <w:r>
        <w:rPr>
          <w:b/>
          <w:bCs/>
          <w:i w:val="false"/>
          <w:iCs w:val="false"/>
          <w:color w:val="1F232B"/>
          <w:sz w:val="39"/>
          <w:szCs w:val="39"/>
        </w:rPr>
        <w:t xml:space="preserve">Projektová charta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Účel projektu a obchodné zdôvodnenie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Účelom projektu je presunúť firemný web a zákaznícky portál z vlastných serverov do cloudu. Tento zámer predstavuje základ pre posúdenie a formálne schválenie projektu.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Projekt je plánovaný na trvanie 4 mesiace s rozpočtom 45 000 €. Navrhované projektové kapacity tvoria projektový manažér, dvaja vývojári a externý dodávateľ cloudu. Sponzorom projektu je IT riaditeľ.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Obchodné zdôvodnenie, očakávané prínosy, strategické prepojenie a dôsledky nerealizovania projektu sú TBD; vyžaduje sa schválené obchodné zdôvodnenie alebo rozhodnutie sponzora.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Požadované rozhodnutie sponzora je TBD; vyžaduje sa potvrdenie, či má byť projekt autorizovaný v uvedenom rozsahu, rozpočte a časovom rámci. Táto charta nepredstavuje podrobný plán migrácie ani realizačný plán.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Ciele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Ciele projektu nie sú v dodaných podkladoch špecifikované. Vyžaduje sa potvrdenie autorizovaných výsledkov projektu, ich merania, cieľových hodnôt, vlastníkov a termínov.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Cieľ súvisiaci s presunom firemného webu do cloudu: TBD — vyžaduje sa schválené znenie cieľa, rozsah presunu, meranie a cieľová hodnota.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Cieľ súvisiaci s presunom zákazníckeho portálu do cloudu: TBD — vyžaduje sa schválené znenie cieľa, rozsah presunu, meranie a cieľová hodnota.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Prínosy pre firmu, zákazníkov alebo prevádzku: TBD — vyžaduje sa schválené obchodné zdôvodnenie a definícia očakávaných výsledkov.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Trvanie 4 mesiace, rozpočet 45 000 € a uvedené personálne kapacity sú dodané projektové parametre; samy osebe nepredstavujú merateľné ciele ani kritériá úspechu.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Rozsah a hranice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28"/>
        <w:gridCol w:w="2315"/>
        <w:gridCol w:w="3126"/>
        <w:gridCol w:w="2607"/>
        <w:gridCol w:w="2204"/>
        <w:gridCol w:w="2090"/>
      </w:tblGrid>
      <w:tr>
        <w:trPr>
          <w:cantSplit/>
          <w:tblHeader/>
        </w:trPr>
        <w:tc>
          <w:tcPr>
            <w:tcW w:type="dxa" w:w="22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Položka rozsahu</w:t>
            </w:r>
          </w:p>
        </w:tc>
        <w:tc>
          <w:tcPr>
            <w:tcW w:type="dxa" w:w="231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Klasifikácia</w:t>
            </w:r>
          </w:p>
        </w:tc>
        <w:tc>
          <w:tcPr>
            <w:tcW w:type="dxa" w:w="312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Opis</w:t>
            </w:r>
          </w:p>
        </w:tc>
        <w:tc>
          <w:tcPr>
            <w:tcW w:type="dxa" w:w="26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Odôvodnenie</w:t>
            </w:r>
          </w:p>
        </w:tc>
        <w:tc>
          <w:tcPr>
            <w:tcW w:type="dxa" w:w="22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20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22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Firemný web</w:t>
            </w:r>
          </w:p>
        </w:tc>
        <w:tc>
          <w:tcPr>
            <w:tcW w:type="dxa" w:w="231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Predbežne zahrnuté</w:t>
            </w:r>
          </w:p>
        </w:tc>
        <w:tc>
          <w:tcPr>
            <w:tcW w:type="dxa" w:w="312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Presun z vlastných serverov do cloudu</w:t>
            </w:r>
          </w:p>
        </w:tc>
        <w:tc>
          <w:tcPr>
            <w:tcW w:type="dxa" w:w="26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Uvedené v projektovom zadaní</w:t>
            </w:r>
          </w:p>
        </w:tc>
        <w:tc>
          <w:tcPr>
            <w:tcW w:type="dxa" w:w="22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vlastníka</w:t>
            </w:r>
          </w:p>
        </w:tc>
        <w:tc>
          <w:tcPr>
            <w:tcW w:type="dxa" w:w="20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Navrhnuté, čaká na schválenie</w:t>
            </w:r>
          </w:p>
        </w:tc>
      </w:tr>
      <w:tr>
        <w:trPr>
          <w:cantSplit/>
        </w:trPr>
        <w:tc>
          <w:tcPr>
            <w:tcW w:type="dxa" w:w="22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Zákaznícky portál</w:t>
            </w:r>
          </w:p>
        </w:tc>
        <w:tc>
          <w:tcPr>
            <w:tcW w:type="dxa" w:w="231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Predbežne zahrnuté</w:t>
            </w:r>
          </w:p>
        </w:tc>
        <w:tc>
          <w:tcPr>
            <w:tcW w:type="dxa" w:w="312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Presun z vlastných serverov do cloudu</w:t>
            </w:r>
          </w:p>
        </w:tc>
        <w:tc>
          <w:tcPr>
            <w:tcW w:type="dxa" w:w="26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Uvedené v projektovom zadaní</w:t>
            </w:r>
          </w:p>
        </w:tc>
        <w:tc>
          <w:tcPr>
            <w:tcW w:type="dxa" w:w="22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vlastníka</w:t>
            </w:r>
          </w:p>
        </w:tc>
        <w:tc>
          <w:tcPr>
            <w:tcW w:type="dxa" w:w="20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Navrhnuté, čaká na schválenie</w:t>
            </w:r>
          </w:p>
        </w:tc>
      </w:tr>
      <w:tr>
        <w:trPr>
          <w:cantSplit/>
        </w:trPr>
        <w:tc>
          <w:tcPr>
            <w:tcW w:type="dxa" w:w="22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Cloudové prostredie a súvisiaca migrácia</w:t>
            </w:r>
          </w:p>
        </w:tc>
        <w:tc>
          <w:tcPr>
            <w:tcW w:type="dxa" w:w="231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Predbežne zahrnuté</w:t>
            </w:r>
          </w:p>
        </w:tc>
        <w:tc>
          <w:tcPr>
            <w:tcW w:type="dxa" w:w="312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Konkrétna konfigurácia, migrácia dát, testovanie a uvedenie do prevádzky nie sú špecifikované</w:t>
            </w:r>
          </w:p>
        </w:tc>
        <w:tc>
          <w:tcPr>
            <w:tcW w:type="dxa" w:w="26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Vyplýva zo zámeru presunu do cloudu, nie je však detailne schválené</w:t>
            </w:r>
          </w:p>
        </w:tc>
        <w:tc>
          <w:tcPr>
            <w:tcW w:type="dxa" w:w="22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rozsah</w:t>
            </w:r>
          </w:p>
        </w:tc>
        <w:tc>
          <w:tcPr>
            <w:tcW w:type="dxa" w:w="20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2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Vlastné servery</w:t>
            </w:r>
          </w:p>
        </w:tc>
        <w:tc>
          <w:tcPr>
            <w:tcW w:type="dxa" w:w="231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Súčasný stav / hranica migrácie</w:t>
            </w:r>
          </w:p>
        </w:tc>
        <w:tc>
          <w:tcPr>
            <w:tcW w:type="dxa" w:w="312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Projekty majú presunúť uvedené systémy z vlastných serverov</w:t>
            </w:r>
          </w:p>
        </w:tc>
        <w:tc>
          <w:tcPr>
            <w:tcW w:type="dxa" w:w="26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Uvedené v projektovom zadaní</w:t>
            </w:r>
          </w:p>
        </w:tc>
        <w:tc>
          <w:tcPr>
            <w:tcW w:type="dxa" w:w="22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0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2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Ďalšie systémy, aplikácie alebo služby</w:t>
            </w:r>
          </w:p>
        </w:tc>
        <w:tc>
          <w:tcPr>
            <w:tcW w:type="dxa" w:w="231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Mimo rozsahu alebo TBD</w:t>
            </w:r>
          </w:p>
        </w:tc>
        <w:tc>
          <w:tcPr>
            <w:tcW w:type="dxa" w:w="312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uvedené, či sú predmetom projektu</w:t>
            </w:r>
          </w:p>
        </w:tc>
        <w:tc>
          <w:tcPr>
            <w:tcW w:type="dxa" w:w="26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Nemožno odvodiť zahrnutie z mlčania v podkladoch</w:t>
            </w:r>
          </w:p>
        </w:tc>
        <w:tc>
          <w:tcPr>
            <w:tcW w:type="dxa" w:w="22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0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2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Prevádzka po migrácii</w:t>
            </w:r>
          </w:p>
        </w:tc>
        <w:tc>
          <w:tcPr>
            <w:tcW w:type="dxa" w:w="231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312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Zodpovednosti, podpora a prevádzkový model po presune nie sú definované</w:t>
            </w:r>
          </w:p>
        </w:tc>
        <w:tc>
          <w:tcPr>
            <w:tcW w:type="dxa" w:w="26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Vyžaduje sa rozhodnutie o hranici projektu</w:t>
            </w:r>
          </w:p>
        </w:tc>
        <w:tc>
          <w:tcPr>
            <w:tcW w:type="dxa" w:w="22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0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2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Zmena rozsahu</w:t>
            </w:r>
          </w:p>
        </w:tc>
        <w:tc>
          <w:tcPr>
            <w:tcW w:type="dxa" w:w="231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312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Právomoc na schválenie zmeny rozsahu nie je určená</w:t>
            </w:r>
          </w:p>
        </w:tc>
        <w:tc>
          <w:tcPr>
            <w:tcW w:type="dxa" w:w="260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Vyžaduje sa schválený mechanizmus riadenia zmien</w:t>
            </w:r>
          </w:p>
        </w:tc>
        <w:tc>
          <w:tcPr>
            <w:tcW w:type="dxa" w:w="220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0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Závislosti, rozhrania, dotknuté skupiny, kritériá zahrnutia a vylúčenia, ako aj autorita na schvaľovanie zmien sú TBD; vyžaduje sa schválené rozhodnutie o rozsahu a riadení zmien.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Kľúčové výstupy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Kľúčové výstupy projektu nie sú v dodaných podkladoch explicitne definované. Predbežne možno za predmet potvrdenia považovať presun firemného webu a zákazníckeho portálu do cloudu, avšak hranice výstupov, akceptačné podmienky, vlastníci, závislosti a cieľové míľniky sú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Výstup pre firemný web: TBD — vyžaduje sa definícia požadovaného stavu, akceptačných podmienok a vlastníka.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Výstup pre zákaznícky portál: TBD — vyžaduje sa definícia požadovaného stavu, akceptačných podmienok a vlastníka.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Výstup súvisiaci s cloudovým prostredím: TBD — vyžaduje sa potvrdenie, či projekt zahŕňa jeho návrh, vytvorenie, konfiguráciu a odovzdanie.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Dokumentácia, testovanie, odovzdanie a prevádzková pripravenosť: TBD — vyžaduje sa schválený zoznam výstupov.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Aktivity, ako sú analýza, vývoj, konfigurácia alebo testovanie, nemožno bez ďalších podkladov považovať za samostatné schválené výstupy.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Zainteresované strany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Identifikované zainteresované strany: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IT riaditeľ</w:t>
      </w:r>
      <w:r>
        <w:rPr>
          <w:b w:val="false"/>
          <w:bCs w:val="false"/>
          <w:i w:val="false"/>
          <w:iCs w:val="false"/>
        </w:rPr>
        <w:t xml:space="preserve"> — uvedený ako sponzor projektu. Rozsah jeho rozhodovacej právomoci, schvaľovacie právomoci a zodpovednosť za financovanie sú TBD; vyžaduje sa potvrdenie mandátu.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Projektový manažér</w:t>
      </w:r>
      <w:r>
        <w:rPr>
          <w:b w:val="false"/>
          <w:bCs w:val="false"/>
          <w:i w:val="false"/>
          <w:iCs w:val="false"/>
        </w:rPr>
        <w:t xml:space="preserve"> — uvedený ako člen projektového tímu. Zodpovednosti, právomoci a vlastníctvo rozhodnutí sú TBD; vyžaduje sa schválené pridelenie roly.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Dvaja vývojári</w:t>
      </w:r>
      <w:r>
        <w:rPr>
          <w:b w:val="false"/>
          <w:bCs w:val="false"/>
          <w:i w:val="false"/>
          <w:iCs w:val="false"/>
        </w:rPr>
        <w:t xml:space="preserve"> — uvedení ako projektové kapacity. Konkrétne zodpovednosti, dostupnosť a odovzdávky sú TBD; vyžaduje sa kapacitné a organizačné potvrdenie.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Externý dodávateľ cloudu</w:t>
      </w:r>
      <w:r>
        <w:rPr>
          <w:b w:val="false"/>
          <w:bCs w:val="false"/>
          <w:i w:val="false"/>
          <w:iCs w:val="false"/>
        </w:rPr>
        <w:t xml:space="preserve"> — uvedený ako súčasť tímu. Rozsah zodpovednosti, zmluvné podmienky, akceptácia výstupov a kontaktná osoba sú TBD; vyžaduje sa dodávateľský rozsah a zmluvné potvrdenie.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Vlastníci firemného webu a zákazníckeho portálu</w:t>
      </w:r>
      <w:r>
        <w:rPr>
          <w:b w:val="false"/>
          <w:bCs w:val="false"/>
          <w:i w:val="false"/>
          <w:iCs w:val="false"/>
        </w:rPr>
        <w:t xml:space="preserve"> — TBD; vyžaduje sa ich identifikácia, záujem, zodpovednosť za akceptáciu a účasť na rozhodnutiach.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Prevádzkové, bezpečnostné, zákaznícke a dotknuté skupiny</w:t>
      </w:r>
      <w:r>
        <w:rPr>
          <w:b w:val="false"/>
          <w:bCs w:val="false"/>
          <w:i w:val="false"/>
          <w:iCs w:val="false"/>
        </w:rPr>
        <w:t xml:space="preserve"> — TBD; vyžaduje sa analýza zainteresovaných strán a určenie potrieb konzultácie.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Vplyv, záujem, autorita, konzultačné potreby a zodpovednosti jednotlivých skupín naprieč rozsahom, výstupmi, rizikami, míľnikmi a kritériami úspechu sú TBD.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Organizácia a riadenie projektu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85"/>
        <w:gridCol w:w="3013"/>
        <w:gridCol w:w="3062"/>
        <w:gridCol w:w="3083"/>
        <w:gridCol w:w="2727"/>
      </w:tblGrid>
      <w:tr>
        <w:trPr>
          <w:cantSplit/>
          <w:tblHeader/>
        </w:trPr>
        <w:tc>
          <w:tcPr>
            <w:tcW w:type="dxa" w:w="2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Rola</w:t>
            </w:r>
          </w:p>
        </w:tc>
        <w:tc>
          <w:tcPr>
            <w:tcW w:type="dxa" w:w="30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Zodpovednosť</w:t>
            </w:r>
          </w:p>
        </w:tc>
        <w:tc>
          <w:tcPr>
            <w:tcW w:type="dxa" w:w="30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Právomoc</w:t>
            </w:r>
          </w:p>
        </w:tc>
        <w:tc>
          <w:tcPr>
            <w:tcW w:type="dxa" w:w="30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Odovzdanie</w:t>
            </w:r>
          </w:p>
        </w:tc>
        <w:tc>
          <w:tcPr>
            <w:tcW w:type="dxa" w:w="27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Dôkazy</w:t>
            </w:r>
          </w:p>
        </w:tc>
      </w:tr>
      <w:tr>
        <w:trPr>
          <w:cantSplit/>
        </w:trPr>
        <w:tc>
          <w:tcPr>
            <w:tcW w:type="dxa" w:w="2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Sponzor — IT riaditeľ</w:t>
            </w:r>
          </w:p>
        </w:tc>
        <w:tc>
          <w:tcPr>
            <w:tcW w:type="dxa" w:w="30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schválenie zodpovedností sponzora</w:t>
            </w:r>
          </w:p>
        </w:tc>
        <w:tc>
          <w:tcPr>
            <w:tcW w:type="dxa" w:w="30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rozhodovacích a schvaľovacích právomocí</w:t>
            </w:r>
          </w:p>
        </w:tc>
        <w:tc>
          <w:tcPr>
            <w:tcW w:type="dxa" w:w="30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eskalácie a rozhodovacích bodov</w:t>
            </w:r>
          </w:p>
        </w:tc>
        <w:tc>
          <w:tcPr>
            <w:tcW w:type="dxa" w:w="27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Sponzor je uvedený v projektovom zadaní</w:t>
            </w:r>
          </w:p>
        </w:tc>
      </w:tr>
      <w:tr>
        <w:trPr>
          <w:cantSplit/>
        </w:trPr>
        <w:tc>
          <w:tcPr>
            <w:tcW w:type="dxa" w:w="2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Projektový manažér</w:t>
            </w:r>
          </w:p>
        </w:tc>
        <w:tc>
          <w:tcPr>
            <w:tcW w:type="dxa" w:w="30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mandát na riadenie projektu</w:t>
            </w:r>
          </w:p>
        </w:tc>
        <w:tc>
          <w:tcPr>
            <w:tcW w:type="dxa" w:w="30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limitov právomoci</w:t>
            </w:r>
          </w:p>
        </w:tc>
        <w:tc>
          <w:tcPr>
            <w:tcW w:type="dxa" w:w="30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popis reportovania sponzorovi a tímu</w:t>
            </w:r>
          </w:p>
        </w:tc>
        <w:tc>
          <w:tcPr>
            <w:tcW w:type="dxa" w:w="27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Rola je uvedená v projektovom zadaní</w:t>
            </w:r>
          </w:p>
        </w:tc>
      </w:tr>
      <w:tr>
        <w:trPr>
          <w:cantSplit/>
        </w:trPr>
        <w:tc>
          <w:tcPr>
            <w:tcW w:type="dxa" w:w="2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Vývojári</w:t>
            </w:r>
          </w:p>
        </w:tc>
        <w:tc>
          <w:tcPr>
            <w:tcW w:type="dxa" w:w="30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rozdelenie technických zodpovedností</w:t>
            </w:r>
          </w:p>
        </w:tc>
        <w:tc>
          <w:tcPr>
            <w:tcW w:type="dxa" w:w="30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technickej rozhodovacej právomoci</w:t>
            </w:r>
          </w:p>
        </w:tc>
        <w:tc>
          <w:tcPr>
            <w:tcW w:type="dxa" w:w="30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popis odovzdávok projektovému manažérovi a prevádzke</w:t>
            </w:r>
          </w:p>
        </w:tc>
        <w:tc>
          <w:tcPr>
            <w:tcW w:type="dxa" w:w="27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Dvaja vývojári sú uvedení ako tímová kapacita</w:t>
            </w:r>
          </w:p>
        </w:tc>
      </w:tr>
      <w:tr>
        <w:trPr>
          <w:cantSplit/>
        </w:trPr>
        <w:tc>
          <w:tcPr>
            <w:tcW w:type="dxa" w:w="2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Externý dodávateľ cloudu</w:t>
            </w:r>
          </w:p>
        </w:tc>
        <w:tc>
          <w:tcPr>
            <w:tcW w:type="dxa" w:w="30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dodávateľského rozsahu</w:t>
            </w:r>
          </w:p>
        </w:tc>
        <w:tc>
          <w:tcPr>
            <w:tcW w:type="dxa" w:w="30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zmluvnej a technickej právomoci</w:t>
            </w:r>
          </w:p>
        </w:tc>
        <w:tc>
          <w:tcPr>
            <w:tcW w:type="dxa" w:w="30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odovzdávok, akceptácie a eskalácie</w:t>
            </w:r>
          </w:p>
        </w:tc>
        <w:tc>
          <w:tcPr>
            <w:tcW w:type="dxa" w:w="27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Externý dodávateľ cloudu je uvedený v projektovom zadaní</w:t>
            </w:r>
          </w:p>
        </w:tc>
      </w:tr>
      <w:tr>
        <w:trPr>
          <w:cantSplit/>
        </w:trPr>
        <w:tc>
          <w:tcPr>
            <w:tcW w:type="dxa" w:w="2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Riadiaci alebo schvaľovací orgán</w:t>
            </w:r>
          </w:p>
        </w:tc>
        <w:tc>
          <w:tcPr>
            <w:tcW w:type="dxa" w:w="30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určenie, či orgán existuje</w:t>
            </w:r>
          </w:p>
        </w:tc>
        <w:tc>
          <w:tcPr>
            <w:tcW w:type="dxa" w:w="30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rozhodovacích práv</w:t>
            </w:r>
          </w:p>
        </w:tc>
        <w:tc>
          <w:tcPr>
            <w:tcW w:type="dxa" w:w="30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eskalačnej trasy</w:t>
            </w:r>
          </w:p>
        </w:tc>
        <w:tc>
          <w:tcPr>
            <w:tcW w:type="dxa" w:w="27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uvedený v dodaných podkladoch</w:t>
            </w:r>
          </w:p>
        </w:tc>
      </w:tr>
      <w:tr>
        <w:trPr>
          <w:cantSplit/>
        </w:trPr>
        <w:tc>
          <w:tcPr>
            <w:tcW w:type="dxa" w:w="26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Zabezpečenie kvality, bezpečnosti a prevádzky</w:t>
            </w:r>
          </w:p>
        </w:tc>
        <w:tc>
          <w:tcPr>
            <w:tcW w:type="dxa" w:w="301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zodpovedností</w:t>
            </w:r>
          </w:p>
        </w:tc>
        <w:tc>
          <w:tcPr>
            <w:tcW w:type="dxa" w:w="306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kontrolných právomocí</w:t>
            </w:r>
          </w:p>
        </w:tc>
        <w:tc>
          <w:tcPr>
            <w:tcW w:type="dxa" w:w="3083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posúdenia pred uvedením do prevádzky</w:t>
            </w:r>
          </w:p>
        </w:tc>
        <w:tc>
          <w:tcPr>
            <w:tcW w:type="dxa" w:w="27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Nie je uvedené v dodaných podkladoch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Formálne priradenie rolí, rozhodovacie práva, limity právomoci, odovzdávky a eskalačné trasy vyžadujú schválenie pred autorizáciou projektu.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Predpoklady a obmedzenia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Predpoklad: trvanie projektu je 4 mesiace.</w:t>
      </w:r>
      <w:r>
        <w:rPr>
          <w:b w:val="false"/>
          <w:bCs w:val="false"/>
          <w:i w:val="false"/>
          <w:iCs w:val="false"/>
        </w:rPr>
        <w:t xml:space="preserve"> Základ predpokladu: projektové zadanie. Vlastník a validačný bod: TBD — vyžaduje sa schválený harmonogram a určenie vlastníka. Dopad pri nesplnení: TBD — vyžaduje sa posúdenie dopadu na rozsah, zdroje a rozpočet.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Predpoklad: rozpočet projektu je 45 000 €.</w:t>
      </w:r>
      <w:r>
        <w:rPr>
          <w:b w:val="false"/>
          <w:bCs w:val="false"/>
          <w:i w:val="false"/>
          <w:iCs w:val="false"/>
        </w:rPr>
        <w:t xml:space="preserve"> Základ predpokladu: projektové zadanie. Vlastník a validačný bod: TBD — vyžaduje sa potvrdenie, či ide o odhad, požadované financovanie alebo autorizovaný rozpočet. Dopad pri nesplnení: TBD.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Obmedzenie: plánovaný tím tvoria projektový manažér, dvaja vývojári a externý dodávateľ cloudu.</w:t>
      </w:r>
      <w:r>
        <w:rPr>
          <w:b w:val="false"/>
          <w:bCs w:val="false"/>
          <w:i w:val="false"/>
          <w:iCs w:val="false"/>
        </w:rPr>
        <w:t xml:space="preserve"> Základ obmedzenia: projektové zadanie. Dostupnosť, kapacita a obdobie nasadenia sú TBD — vyžaduje sa potvrdenie kapacitného plánu.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Obmedzenie: migrácia sa týka firemného webu a zákazníckeho portálu.</w:t>
      </w:r>
      <w:r>
        <w:rPr>
          <w:b w:val="false"/>
          <w:bCs w:val="false"/>
          <w:i w:val="false"/>
          <w:iCs w:val="false"/>
        </w:rPr>
        <w:t xml:space="preserve"> Presné technické, dátové, bezpečnostné a prevádzkové hranice sú TBD — vyžaduje sa schválený rozsah.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Predpoklady týkajúce sa dostupnosti cloudového prostredia, pripravenosti aplikácií, dát, licencií, bezpečnosti, integrácií a prevádzky:</w:t>
      </w:r>
      <w:r>
        <w:rPr>
          <w:b w:val="false"/>
          <w:bCs w:val="false"/>
          <w:i w:val="false"/>
          <w:iCs w:val="false"/>
        </w:rPr>
        <w:t xml:space="preserve"> TBD — vyžaduje sa technické a prevádzkové posúdenie.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Governance a schvaľovanie zmien:</w:t>
      </w:r>
      <w:r>
        <w:rPr>
          <w:b w:val="false"/>
          <w:bCs w:val="false"/>
          <w:i w:val="false"/>
          <w:iCs w:val="false"/>
        </w:rPr>
        <w:t xml:space="preserve"> TBD — vyžaduje sa určenie schvaľovacej autority, eskalačnej trasy a podmienok zmeny charty.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Zdroje a rozpočet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Uvedený rozpočet:</w:t>
      </w:r>
      <w:r>
        <w:rPr>
          <w:b w:val="false"/>
          <w:bCs w:val="false"/>
          <w:i w:val="false"/>
          <w:iCs w:val="false"/>
        </w:rPr>
        <w:t xml:space="preserve"> 45 000 €. Nie je potvrdené, či ide o odhad, požadované financovanie alebo sponzorom autorizovaný rozpočet; stav je TBD — vyžaduje sa finančné schválenie.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Mena:</w:t>
      </w:r>
      <w:r>
        <w:rPr>
          <w:b w:val="false"/>
          <w:bCs w:val="false"/>
          <w:i w:val="false"/>
          <w:iCs w:val="false"/>
        </w:rPr>
        <w:t xml:space="preserve"> EUR, vyplýva zo zápisu sumy 45 000 €.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Projektové kapacity:</w:t>
      </w:r>
      <w:r>
        <w:rPr>
          <w:b w:val="false"/>
          <w:bCs w:val="false"/>
          <w:i w:val="false"/>
          <w:iCs w:val="false"/>
        </w:rPr>
        <w:t xml:space="preserve"> projektový manažér, dvaja vývojári a externý dodávateľ cloudu.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Kapacita a načasovanie zdrojov:</w:t>
      </w:r>
      <w:r>
        <w:rPr>
          <w:b w:val="false"/>
          <w:bCs w:val="false"/>
          <w:i w:val="false"/>
          <w:iCs w:val="false"/>
        </w:rPr>
        <w:t xml:space="preserve"> TBD — vyžaduje sa potvrdenie dostupnosti, percenta zapojenia a obdobia nasadenia jednotlivých zdrojov.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Zdroj financovania:</w:t>
      </w:r>
      <w:r>
        <w:rPr>
          <w:b w:val="false"/>
          <w:bCs w:val="false"/>
          <w:i w:val="false"/>
          <w:iCs w:val="false"/>
        </w:rPr>
        <w:t xml:space="preserve"> TBD — vyžaduje sa určenie rozpočtového vlastníka a financujúceho útvaru.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Sponzorom schválené limity:</w:t>
      </w:r>
      <w:r>
        <w:rPr>
          <w:b w:val="false"/>
          <w:bCs w:val="false"/>
          <w:i w:val="false"/>
          <w:iCs w:val="false"/>
        </w:rPr>
        <w:t xml:space="preserve"> TBD — vyžaduje sa potvrdenie finančných a kapacitných limitov.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Nákladové predpoklady:</w:t>
      </w:r>
      <w:r>
        <w:rPr>
          <w:b w:val="false"/>
          <w:bCs w:val="false"/>
          <w:i w:val="false"/>
          <w:iCs w:val="false"/>
        </w:rPr>
        <w:t xml:space="preserve"> TBD — vyžaduje sa rozčlenenie nákladov na interné kapacity, externého dodávateľa, cloudové služby, licencie, migráciu, testovanie a prípadné prevádzkové náklady.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Podrobný rozpočet, plán čerpania, sadzby, zmluvné záväzky a náklady po migrácii nie sú súčasťou dodaných podkladov a nemajú sa v tejto charte domýšľať.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Hlavné riziká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Stav rizík nie je v dodaných podkladoch zdokumentovaný. Pravdepodobnosť a dopad sa preto nehodnotia bez evidencie. Vyžaduje sa počiatočný register rizík a potvrdenie vlastníkov a reakcií.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5"/>
        <w:gridCol w:w="2201"/>
        <w:gridCol w:w="2148"/>
        <w:gridCol w:w="1958"/>
        <w:gridCol w:w="2106"/>
        <w:gridCol w:w="1606"/>
        <w:gridCol w:w="1974"/>
        <w:gridCol w:w="1512"/>
      </w:tblGrid>
      <w:tr>
        <w:trPr>
          <w:cantSplit/>
          <w:tblHeader/>
        </w:trPr>
        <w:tc>
          <w:tcPr>
            <w:tcW w:type="dxa" w:w="10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rizika</w:t>
            </w:r>
          </w:p>
        </w:tc>
        <w:tc>
          <w:tcPr>
            <w:tcW w:type="dxa" w:w="22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Príčina</w:t>
            </w:r>
          </w:p>
        </w:tc>
        <w:tc>
          <w:tcPr>
            <w:tcW w:type="dxa" w:w="21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Riziková udalosť</w:t>
            </w:r>
          </w:p>
        </w:tc>
        <w:tc>
          <w:tcPr>
            <w:tcW w:type="dxa" w:w="19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Dôsledok</w:t>
            </w:r>
          </w:p>
        </w:tc>
        <w:tc>
          <w:tcPr>
            <w:tcW w:type="dxa" w:w="21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Pravdepodobnosť</w:t>
            </w:r>
          </w:p>
        </w:tc>
        <w:tc>
          <w:tcPr>
            <w:tcW w:type="dxa" w:w="16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Dopad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Reakcia</w:t>
            </w:r>
          </w:p>
        </w:tc>
        <w:tc>
          <w:tcPr>
            <w:tcW w:type="dxa" w:w="1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</w:tr>
      <w:tr>
        <w:trPr>
          <w:cantSplit/>
        </w:trPr>
        <w:tc>
          <w:tcPr>
            <w:tcW w:type="dxa" w:w="10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 TBD</w:t>
            </w:r>
          </w:p>
        </w:tc>
        <w:tc>
          <w:tcPr>
            <w:tcW w:type="dxa" w:w="22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identifikácia príčiny</w:t>
            </w:r>
          </w:p>
        </w:tc>
        <w:tc>
          <w:tcPr>
            <w:tcW w:type="dxa" w:w="21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popis hrozby alebo príležitosti súvisiacej s migráciou</w:t>
            </w:r>
          </w:p>
        </w:tc>
        <w:tc>
          <w:tcPr>
            <w:tcW w:type="dxa" w:w="19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dopadu na ciele, rozsah, rozpočet alebo míľniky</w:t>
            </w:r>
          </w:p>
        </w:tc>
        <w:tc>
          <w:tcPr>
            <w:tcW w:type="dxa" w:w="21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hodnotenie rizika</w:t>
            </w:r>
          </w:p>
        </w:tc>
        <w:tc>
          <w:tcPr>
            <w:tcW w:type="dxa" w:w="16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hodnotenie rizika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navrhnutá a schválená reakcia</w:t>
            </w:r>
          </w:p>
        </w:tc>
        <w:tc>
          <w:tcPr>
            <w:tcW w:type="dxa" w:w="1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</w:t>
            </w:r>
          </w:p>
        </w:tc>
      </w:tr>
      <w:tr>
        <w:trPr>
          <w:cantSplit/>
        </w:trPr>
        <w:tc>
          <w:tcPr>
            <w:tcW w:type="dxa" w:w="10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 TBD</w:t>
            </w:r>
          </w:p>
        </w:tc>
        <w:tc>
          <w:tcPr>
            <w:tcW w:type="dxa" w:w="22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identifikácia závislosti od externého dodávateľa</w:t>
            </w:r>
          </w:p>
        </w:tc>
        <w:tc>
          <w:tcPr>
            <w:tcW w:type="dxa" w:w="21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dodávateľského rizika</w:t>
            </w:r>
          </w:p>
        </w:tc>
        <w:tc>
          <w:tcPr>
            <w:tcW w:type="dxa" w:w="19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dopadu na harmonogram, rozpočet alebo kvalitu</w:t>
            </w:r>
          </w:p>
        </w:tc>
        <w:tc>
          <w:tcPr>
            <w:tcW w:type="dxa" w:w="21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hodnotenie rizika</w:t>
            </w:r>
          </w:p>
        </w:tc>
        <w:tc>
          <w:tcPr>
            <w:tcW w:type="dxa" w:w="16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hodnotenie rizika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reakcia a eskalácia</w:t>
            </w:r>
          </w:p>
        </w:tc>
        <w:tc>
          <w:tcPr>
            <w:tcW w:type="dxa" w:w="1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</w:t>
            </w:r>
          </w:p>
        </w:tc>
      </w:tr>
      <w:tr>
        <w:trPr>
          <w:cantSplit/>
        </w:trPr>
        <w:tc>
          <w:tcPr>
            <w:tcW w:type="dxa" w:w="106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R- TBD</w:t>
            </w:r>
          </w:p>
        </w:tc>
        <w:tc>
          <w:tcPr>
            <w:tcW w:type="dxa" w:w="22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identifikácia technických, bezpečnostných alebo prevádzkových podmienok</w:t>
            </w:r>
          </w:p>
        </w:tc>
        <w:tc>
          <w:tcPr>
            <w:tcW w:type="dxa" w:w="21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rizika migrácie webu a portálu</w:t>
            </w:r>
          </w:p>
        </w:tc>
        <w:tc>
          <w:tcPr>
            <w:tcW w:type="dxa" w:w="195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posúdenie dopadu</w:t>
            </w:r>
          </w:p>
        </w:tc>
        <w:tc>
          <w:tcPr>
            <w:tcW w:type="dxa" w:w="21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hodnotenie rizika</w:t>
            </w:r>
          </w:p>
        </w:tc>
        <w:tc>
          <w:tcPr>
            <w:tcW w:type="dxa" w:w="16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hodnotenie rizika</w:t>
            </w:r>
          </w:p>
        </w:tc>
        <w:tc>
          <w:tcPr>
            <w:tcW w:type="dxa" w:w="197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reakcia a rozhodnutie, či riziko vyžaduje sponzorskú eskaláciu</w:t>
            </w:r>
          </w:p>
        </w:tc>
        <w:tc>
          <w:tcPr>
            <w:tcW w:type="dxa" w:w="15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</w:t>
            </w:r>
          </w:p>
        </w:tc>
      </w:tr>
    </w:tbl>
    <w:p>
      <w:pPr>
        <w:spacing w:after="120"/>
      </w:pP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Míľniky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Jediný dostupný časový údaj je plánované trvanie projektu 4 mesiace. Konkrétne dátumy, poradie míľnikov, rozhodovacie body a vlastníci nie sú dodané.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1"/>
        <w:gridCol w:w="2846"/>
        <w:gridCol w:w="2708"/>
        <w:gridCol w:w="2649"/>
        <w:gridCol w:w="2530"/>
        <w:gridCol w:w="1236"/>
      </w:tblGrid>
      <w:tr>
        <w:trPr>
          <w:cantSplit/>
          <w:tblHeader/>
        </w:trPr>
        <w:tc>
          <w:tcPr>
            <w:tcW w:type="dxa" w:w="26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Míľnik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Cieľový dátum</w:t>
            </w:r>
          </w:p>
        </w:tc>
        <w:tc>
          <w:tcPr>
            <w:tcW w:type="dxa" w:w="270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Závislosť</w:t>
            </w:r>
          </w:p>
        </w:tc>
        <w:tc>
          <w:tcPr>
            <w:tcW w:type="dxa" w:w="26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Rozhodovací bod</w:t>
            </w:r>
          </w:p>
        </w:tc>
        <w:tc>
          <w:tcPr>
            <w:tcW w:type="dxa" w:w="2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Vlastník</w:t>
            </w:r>
          </w:p>
        </w:tc>
        <w:tc>
          <w:tcPr>
            <w:tcW w:type="dxa" w:w="12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26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Schválenie projektovej charty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dátum začiatku a schválený harmonogram</w:t>
            </w:r>
          </w:p>
        </w:tc>
        <w:tc>
          <w:tcPr>
            <w:tcW w:type="dxa" w:w="270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Schválenie rozsahu, rozpočtu a governance</w:t>
            </w:r>
          </w:p>
        </w:tc>
        <w:tc>
          <w:tcPr>
            <w:tcW w:type="dxa" w:w="26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schvaľovacej autority</w:t>
            </w:r>
          </w:p>
        </w:tc>
        <w:tc>
          <w:tcPr>
            <w:tcW w:type="dxa" w:w="2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IT riaditeľ ako uvedený sponzor; formálne potvrdenie TBD</w:t>
            </w:r>
          </w:p>
        </w:tc>
        <w:tc>
          <w:tcPr>
            <w:tcW w:type="dxa" w:w="12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6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Pripravenosť na migráciu firemného webu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harmonogram</w:t>
            </w:r>
          </w:p>
        </w:tc>
        <w:tc>
          <w:tcPr>
            <w:tcW w:type="dxa" w:w="270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technická a prevádzková pripravenosť</w:t>
            </w:r>
          </w:p>
        </w:tc>
        <w:tc>
          <w:tcPr>
            <w:tcW w:type="dxa" w:w="26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akceptačné rozhodnutie</w:t>
            </w:r>
          </w:p>
        </w:tc>
        <w:tc>
          <w:tcPr>
            <w:tcW w:type="dxa" w:w="2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vlastník</w:t>
            </w:r>
          </w:p>
        </w:tc>
        <w:tc>
          <w:tcPr>
            <w:tcW w:type="dxa" w:w="12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6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Pripravenosť na migráciu zákazníckeho portálu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harmonogram</w:t>
            </w:r>
          </w:p>
        </w:tc>
        <w:tc>
          <w:tcPr>
            <w:tcW w:type="dxa" w:w="270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technická a prevádzková pripravenosť</w:t>
            </w:r>
          </w:p>
        </w:tc>
        <w:tc>
          <w:tcPr>
            <w:tcW w:type="dxa" w:w="26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akceptačné rozhodnutie</w:t>
            </w:r>
          </w:p>
        </w:tc>
        <w:tc>
          <w:tcPr>
            <w:tcW w:type="dxa" w:w="2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vlastník</w:t>
            </w:r>
          </w:p>
        </w:tc>
        <w:tc>
          <w:tcPr>
            <w:tcW w:type="dxa" w:w="12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  <w:tr>
        <w:trPr>
          <w:cantSplit/>
        </w:trPr>
        <w:tc>
          <w:tcPr>
            <w:tcW w:type="dxa" w:w="26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Dokončenie projektu</w:t>
            </w:r>
          </w:p>
        </w:tc>
        <w:tc>
          <w:tcPr>
            <w:tcW w:type="dxa" w:w="284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projekt má podľa zadania trvať 4 mesiace, dátum začiatku nie je uvedený</w:t>
            </w:r>
          </w:p>
        </w:tc>
        <w:tc>
          <w:tcPr>
            <w:tcW w:type="dxa" w:w="270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Dokončenie schválených výstupov a akceptácie</w:t>
            </w:r>
          </w:p>
        </w:tc>
        <w:tc>
          <w:tcPr>
            <w:tcW w:type="dxa" w:w="264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rozhodnutie o uzavretí projektu</w:t>
            </w:r>
          </w:p>
        </w:tc>
        <w:tc>
          <w:tcPr>
            <w:tcW w:type="dxa" w:w="253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vlastníka</w:t>
            </w:r>
          </w:p>
        </w:tc>
        <w:tc>
          <w:tcPr>
            <w:tcW w:type="dxa" w:w="123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</w:tbl>
    <w:p>
      <w:pPr>
        <w:spacing w:after="120"/>
      </w:pP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Kritériá úspechu a KPI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Kritériá úspechu, KPI, východiskové hodnoty, cieľové hodnoty, jednotky, zdroje údajov, frekvencia merania a schvaľovacie autority nie sú v dodaných podkladoch definované.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71"/>
        <w:gridCol w:w="2301"/>
        <w:gridCol w:w="2278"/>
        <w:gridCol w:w="2237"/>
        <w:gridCol w:w="1644"/>
        <w:gridCol w:w="2071"/>
        <w:gridCol w:w="1868"/>
      </w:tblGrid>
      <w:tr>
        <w:trPr>
          <w:cantSplit/>
          <w:tblHeader/>
        </w:trPr>
        <w:tc>
          <w:tcPr>
            <w:tcW w:type="dxa" w:w="21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Ukazovateľ</w:t>
            </w:r>
          </w:p>
        </w:tc>
        <w:tc>
          <w:tcPr>
            <w:tcW w:type="dxa" w:w="23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Definícia</w:t>
            </w:r>
          </w:p>
        </w:tc>
        <w:tc>
          <w:tcPr>
            <w:tcW w:type="dxa" w:w="22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Východiskový stav</w:t>
            </w:r>
          </w:p>
        </w:tc>
        <w:tc>
          <w:tcPr>
            <w:tcW w:type="dxa" w:w="22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Cieľ</w:t>
            </w:r>
          </w:p>
        </w:tc>
        <w:tc>
          <w:tcPr>
            <w:tcW w:type="dxa" w:w="164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Jednotka</w:t>
            </w:r>
          </w:p>
        </w:tc>
        <w:tc>
          <w:tcPr>
            <w:tcW w:type="dxa" w:w="20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  <w:tc>
          <w:tcPr>
            <w:tcW w:type="dxa" w:w="18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Frekvencia</w:t>
            </w:r>
          </w:p>
        </w:tc>
      </w:tr>
      <w:tr>
        <w:trPr>
          <w:cantSplit/>
        </w:trPr>
        <w:tc>
          <w:tcPr>
            <w:tcW w:type="dxa" w:w="21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Dokončenie presunu firemného webu</w:t>
            </w:r>
          </w:p>
        </w:tc>
        <w:tc>
          <w:tcPr>
            <w:tcW w:type="dxa" w:w="23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úspešne dokončenej migrácie</w:t>
            </w:r>
          </w:p>
        </w:tc>
        <w:tc>
          <w:tcPr>
            <w:tcW w:type="dxa" w:w="22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východiskový stav</w:t>
            </w:r>
          </w:p>
        </w:tc>
        <w:tc>
          <w:tcPr>
            <w:tcW w:type="dxa" w:w="22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schválená cieľová hodnota</w:t>
            </w:r>
          </w:p>
        </w:tc>
        <w:tc>
          <w:tcPr>
            <w:tcW w:type="dxa" w:w="164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jednotka</w:t>
            </w:r>
          </w:p>
        </w:tc>
        <w:tc>
          <w:tcPr>
            <w:tcW w:type="dxa" w:w="20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zdroj dôkazov</w:t>
            </w:r>
          </w:p>
        </w:tc>
        <w:tc>
          <w:tcPr>
            <w:tcW w:type="dxa" w:w="18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frekvencia</w:t>
            </w:r>
          </w:p>
        </w:tc>
      </w:tr>
      <w:tr>
        <w:trPr>
          <w:cantSplit/>
        </w:trPr>
        <w:tc>
          <w:tcPr>
            <w:tcW w:type="dxa" w:w="21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Dokončenie presunu zákazníckeho portálu</w:t>
            </w:r>
          </w:p>
        </w:tc>
        <w:tc>
          <w:tcPr>
            <w:tcW w:type="dxa" w:w="23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úspešne dokončenej migrácie</w:t>
            </w:r>
          </w:p>
        </w:tc>
        <w:tc>
          <w:tcPr>
            <w:tcW w:type="dxa" w:w="22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východiskový stav</w:t>
            </w:r>
          </w:p>
        </w:tc>
        <w:tc>
          <w:tcPr>
            <w:tcW w:type="dxa" w:w="22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schválená cieľová hodnota</w:t>
            </w:r>
          </w:p>
        </w:tc>
        <w:tc>
          <w:tcPr>
            <w:tcW w:type="dxa" w:w="164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jednotka</w:t>
            </w:r>
          </w:p>
        </w:tc>
        <w:tc>
          <w:tcPr>
            <w:tcW w:type="dxa" w:w="20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zdroj dôkazov</w:t>
            </w:r>
          </w:p>
        </w:tc>
        <w:tc>
          <w:tcPr>
            <w:tcW w:type="dxa" w:w="18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frekvencia</w:t>
            </w:r>
          </w:p>
        </w:tc>
      </w:tr>
      <w:tr>
        <w:trPr>
          <w:cantSplit/>
        </w:trPr>
        <w:tc>
          <w:tcPr>
            <w:tcW w:type="dxa" w:w="21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Dodržanie trvania projektu</w:t>
            </w:r>
          </w:p>
        </w:tc>
        <w:tc>
          <w:tcPr>
            <w:tcW w:type="dxa" w:w="23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merania</w:t>
            </w:r>
          </w:p>
        </w:tc>
        <w:tc>
          <w:tcPr>
            <w:tcW w:type="dxa" w:w="22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východiskový harmonogram</w:t>
            </w:r>
          </w:p>
        </w:tc>
        <w:tc>
          <w:tcPr>
            <w:tcW w:type="dxa" w:w="22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 mesiace ako plánované trvanie; status záväzku TBD</w:t>
            </w:r>
          </w:p>
        </w:tc>
        <w:tc>
          <w:tcPr>
            <w:tcW w:type="dxa" w:w="164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mesiace</w:t>
            </w:r>
          </w:p>
        </w:tc>
        <w:tc>
          <w:tcPr>
            <w:tcW w:type="dxa" w:w="20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schválený harmonogram</w:t>
            </w:r>
          </w:p>
        </w:tc>
        <w:tc>
          <w:tcPr>
            <w:tcW w:type="dxa" w:w="18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frekvencia</w:t>
            </w:r>
          </w:p>
        </w:tc>
      </w:tr>
      <w:tr>
        <w:trPr>
          <w:cantSplit/>
        </w:trPr>
        <w:tc>
          <w:tcPr>
            <w:tcW w:type="dxa" w:w="21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Dodržanie rozpočtu</w:t>
            </w:r>
          </w:p>
        </w:tc>
        <w:tc>
          <w:tcPr>
            <w:tcW w:type="dxa" w:w="23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merania</w:t>
            </w:r>
          </w:p>
        </w:tc>
        <w:tc>
          <w:tcPr>
            <w:tcW w:type="dxa" w:w="22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rozpočtovej bázy</w:t>
            </w:r>
          </w:p>
        </w:tc>
        <w:tc>
          <w:tcPr>
            <w:tcW w:type="dxa" w:w="22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45 000 € ako uvedený rozpočtový údaj; status autorizácie TBD</w:t>
            </w:r>
          </w:p>
        </w:tc>
        <w:tc>
          <w:tcPr>
            <w:tcW w:type="dxa" w:w="164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EUR</w:t>
            </w:r>
          </w:p>
        </w:tc>
        <w:tc>
          <w:tcPr>
            <w:tcW w:type="dxa" w:w="20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finančný zdroj</w:t>
            </w:r>
          </w:p>
        </w:tc>
        <w:tc>
          <w:tcPr>
            <w:tcW w:type="dxa" w:w="18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frekvencia</w:t>
            </w:r>
          </w:p>
        </w:tc>
      </w:tr>
      <w:tr>
        <w:trPr>
          <w:cantSplit/>
        </w:trPr>
        <w:tc>
          <w:tcPr>
            <w:tcW w:type="dxa" w:w="21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Akceptácia výsledkov migrácie</w:t>
            </w:r>
          </w:p>
        </w:tc>
        <w:tc>
          <w:tcPr>
            <w:tcW w:type="dxa" w:w="23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definícia akceptačných podmienok</w:t>
            </w:r>
          </w:p>
        </w:tc>
        <w:tc>
          <w:tcPr>
            <w:tcW w:type="dxa" w:w="227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2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prah akceptácie</w:t>
            </w:r>
          </w:p>
        </w:tc>
        <w:tc>
          <w:tcPr>
            <w:tcW w:type="dxa" w:w="1644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07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186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Schvaľovacia autorita pre KPI a kritériá úspechu je TBD; vyžaduje sa jej určenie, spolu s vlastníkmi meraní a dátumom akceptácie.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Schválenie a podpis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Požaduje sa rozhodnutie o autorizácii projektu presunu firemného webu a zákazníckeho portálu z vlastných serverov do cloudu, vrátane potvrdenia rozsahu, trvania 4 mesiace, rozpočtu 45 000 €, projektových kapacít a governance.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Podmienky schválenia sú TBD; minimálne sa vyžaduje potvrdenie cieľov, hraníc rozsahu, kľúčových výstupov, vlastníkov, rizík, míľnikov, KPI, financovania a rozhodovacích právomocí.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90"/>
        <w:gridCol w:w="2487"/>
        <w:gridCol w:w="2700"/>
        <w:gridCol w:w="2255"/>
        <w:gridCol w:w="2327"/>
        <w:gridCol w:w="2511"/>
      </w:tblGrid>
      <w:tr>
        <w:trPr>
          <w:cantSplit/>
          <w:tblHeader/>
        </w:trPr>
        <w:tc>
          <w:tcPr>
            <w:tcW w:type="dxa" w:w="22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Právomoc</w:t>
            </w:r>
          </w:p>
        </w:tc>
        <w:tc>
          <w:tcPr>
            <w:tcW w:type="dxa" w:w="24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Rozhodnutie</w:t>
            </w:r>
          </w:p>
        </w:tc>
        <w:tc>
          <w:tcPr>
            <w:tcW w:type="dxa" w:w="270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Podmienky</w:t>
            </w:r>
          </w:p>
        </w:tc>
        <w:tc>
          <w:tcPr>
            <w:tcW w:type="dxa" w:w="22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Dátum rozhodnutia</w:t>
            </w:r>
          </w:p>
        </w:tc>
        <w:tc>
          <w:tcPr>
            <w:tcW w:type="dxa" w:w="23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Odôvodnenie</w:t>
            </w:r>
          </w:p>
        </w:tc>
        <w:tc>
          <w:tcPr>
            <w:tcW w:type="dxa" w:w="25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22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IT riaditeľ — uvedený sponzor</w:t>
            </w:r>
          </w:p>
        </w:tc>
        <w:tc>
          <w:tcPr>
            <w:tcW w:type="dxa" w:w="24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rozhodnutie o autorizácii</w:t>
            </w:r>
          </w:p>
        </w:tc>
        <w:tc>
          <w:tcPr>
            <w:tcW w:type="dxa" w:w="270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rozsahu, rozpočtu, trvania a governance</w:t>
            </w:r>
          </w:p>
        </w:tc>
        <w:tc>
          <w:tcPr>
            <w:tcW w:type="dxa" w:w="22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dátum rozhodnutia</w:t>
            </w:r>
          </w:p>
        </w:tc>
        <w:tc>
          <w:tcPr>
            <w:tcW w:type="dxa" w:w="23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odôvodnenie rozhodnutia</w:t>
            </w:r>
          </w:p>
        </w:tc>
        <w:tc>
          <w:tcPr>
            <w:tcW w:type="dxa" w:w="25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Čaká na schválenie</w:t>
            </w:r>
          </w:p>
        </w:tc>
      </w:tr>
      <w:tr>
        <w:trPr>
          <w:cantSplit/>
        </w:trPr>
        <w:tc>
          <w:tcPr>
            <w:tcW w:type="dxa" w:w="22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Finančná schvaľovacia autorita</w:t>
            </w:r>
          </w:p>
        </w:tc>
        <w:tc>
          <w:tcPr>
            <w:tcW w:type="dxa" w:w="24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rozpočtu 45 000 €</w:t>
            </w:r>
          </w:p>
        </w:tc>
        <w:tc>
          <w:tcPr>
            <w:tcW w:type="dxa" w:w="270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potvrdenie zdroja financovania a limitov</w:t>
            </w:r>
          </w:p>
        </w:tc>
        <w:tc>
          <w:tcPr>
            <w:tcW w:type="dxa" w:w="22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3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5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Neidentifikovaná</w:t>
            </w:r>
          </w:p>
        </w:tc>
      </w:tr>
      <w:tr>
        <w:trPr>
          <w:cantSplit/>
        </w:trPr>
        <w:tc>
          <w:tcPr>
            <w:tcW w:type="dxa" w:w="22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Vlastník firemného webu</w:t>
            </w:r>
          </w:p>
        </w:tc>
        <w:tc>
          <w:tcPr>
            <w:tcW w:type="dxa" w:w="24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akceptácia rozsahu a výsledku migrácie</w:t>
            </w:r>
          </w:p>
        </w:tc>
        <w:tc>
          <w:tcPr>
            <w:tcW w:type="dxa" w:w="270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akceptačných podmienok</w:t>
            </w:r>
          </w:p>
        </w:tc>
        <w:tc>
          <w:tcPr>
            <w:tcW w:type="dxa" w:w="22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3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5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Neidentifikovaný</w:t>
            </w:r>
          </w:p>
        </w:tc>
      </w:tr>
      <w:tr>
        <w:trPr>
          <w:cantSplit/>
        </w:trPr>
        <w:tc>
          <w:tcPr>
            <w:tcW w:type="dxa" w:w="229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Vlastník zákazníckeho portálu</w:t>
            </w:r>
          </w:p>
        </w:tc>
        <w:tc>
          <w:tcPr>
            <w:tcW w:type="dxa" w:w="248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akceptácia rozsahu a výsledku migrácie</w:t>
            </w:r>
          </w:p>
        </w:tc>
        <w:tc>
          <w:tcPr>
            <w:tcW w:type="dxa" w:w="270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vyžaduje sa určenie akceptačných podmienok</w:t>
            </w:r>
          </w:p>
        </w:tc>
        <w:tc>
          <w:tcPr>
            <w:tcW w:type="dxa" w:w="225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32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5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Neidentifikovaný</w:t>
            </w:r>
          </w:p>
        </w:tc>
      </w:tr>
    </w:tbl>
    <w:p>
      <w:pPr>
        <w:spacing w:after="120"/>
      </w:pP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Odporúčanie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Na základe dostupných podkladov sa odporúča </w:t>
      </w:r>
      <w:r>
        <w:rPr>
          <w:b/>
          <w:bCs/>
          <w:i w:val="false"/>
          <w:iCs w:val="false"/>
        </w:rPr>
        <w:t xml:space="preserve">ďalšia analýza pred formálnou autorizáciou projektu</w:t>
      </w:r>
      <w:r>
        <w:rPr>
          <w:b w:val="false"/>
          <w:bCs w:val="false"/>
          <w:i w:val="false"/>
          <w:iCs w:val="false"/>
        </w:rPr>
        <w:t xml:space="preserve">. Zámer presunúť firemný web a zákaznícky portál do cloudu je identifikovaný a sú uvedené základné parametre projektu: plánované trvanie 4 mesiace, rozpočet 45 000 €, projektový manažér, dvaja vývojári, externý dodávateľ cloudu a IT riaditeľ ako sponzor.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Formálne schválenie však nemožno úplne podložiť, pretože chýbajú autorizované ciele, rozsah a hranice, kľúčové výstupy, zainteresované strany, akceptačné podmienky, register rizík, harmonogram, KPI, financovanie a schválené rozhodovacie právomoci.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Pred autorizáciou sa odporúča doplniť a schváliť najmä: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ciele projektu a merateľné kritériá úspechu;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zahrnutý a vylúčený rozsah migrácie;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kľúčové výstupy a akceptačné podmienky;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vlastníkov webu, portálu a výsledkov projektu;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úlohy a právomoci sponzora, projektového manažéra, vývojárov a externého dodávateľa;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rozlíšenie medzi odhadom, požadovaným financovaním a autorizovaným rozpočtom 45 000 €;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míľniky v rámci plánovaného trvania 4 mesiace;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počiatočné riziká, ich vlastníkov a reakcie;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formálne schválenie IT riaditeľom a prípadnými ďalšími autoritami.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 doplnení uvedených podkladov môže IT riaditeľ rozhodnúť o autorizácii projektu v potvrdenom rozsahu, rozpočte a governance.</w:t>
      </w:r>
    </w:p>
    <w:sectPr>
      <w:footerReference w:type="default" r:id="rId7"/>
      <w:pgSz w:w="16838" w:h="11906" w:orient="landscape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079"/>
        <w:sz w:val="18"/>
        <w:szCs w:val="18"/>
      </w:rPr>
      <w:t xml:space="preserve">Vygenerované pomocou AI v Baaito – pred použitím skontrolujte.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B"/>
        <w:sz w:val="21"/>
        <w:szCs w:val="21"/>
      </w:rPr>
    </w:rPrDefault>
    <w:pPrDefault>
      <w:pPr>
        <w:spacing w:line="38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Charter — Migrácia firemného webu do cloudu</dc:title>
  <dc:subject>AI-generated document</dc:subject>
  <dc:creator>Baaito (AI-generated)</dc:creator>
  <cp:keywords>AI-generated, Baaito</cp:keywords>
  <dc:description>Generator: Baaito (AI-generated), model: gpt-5.6-luna, date: 2026-10-28</dc:description>
  <cp:lastModifiedBy>Baaito</cp:lastModifiedBy>
  <cp:revision>1</cp:revision>
  <dcterms:created xsi:type="dcterms:W3CDTF">2026-10-28T19:19:13.485Z</dcterms:created>
  <dcterms:modified xsi:type="dcterms:W3CDTF">2026-10-28T19:19:13.485Z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Baaito (AI-generated)</vt:lpwstr>
  </property>
  <property fmtid="{D5CDD505-2E9C-101B-9397-08002B2CF9AE}" pid="3" name="AI model">
    <vt:lpwstr>gpt-5.6-luna</vt:lpwstr>
  </property>
  <property fmtid="{D5CDD505-2E9C-101B-9397-08002B2CF9AE}" pid="4" name="Generated">
    <vt:lpwstr>2026-10-28</vt:lpwstr>
  </property>
</Properties>
</file>