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8DBE0" w:sz="4" w:space="8"/>
        </w:pBdr>
        <w:spacing w:after="240"/>
      </w:pPr>
      <w:r>
        <w:rPr>
          <w:rFonts w:ascii="Calibri" w:cs="Calibri" w:eastAsia="Calibri" w:hAnsi="Calibri"/>
          <w:b/>
          <w:bCs/>
          <w:color w:val="1F232B"/>
          <w:sz w:val="36"/>
          <w:szCs w:val="36"/>
        </w:rPr>
        <w:t xml:space="preserve">User Stories &amp; Acceptance Criteria — Sledování objednávky a změna termínu doručení</w:t>
      </w:r>
    </w:p>
    <w:p>
      <w:pPr>
        <w:keepNext/>
        <w:spacing w:after="200" w:before="0"/>
      </w:pPr>
      <w:r>
        <w:rPr>
          <w:b/>
          <w:bCs/>
          <w:i w:val="false"/>
          <w:iCs w:val="false"/>
          <w:color w:val="1F232B"/>
          <w:sz w:val="39"/>
          <w:szCs w:val="39"/>
        </w:rPr>
        <w:t xml:space="preserve">User Stories &amp; Acceptance Criteria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Účel a rozsah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Tento dokument slouží jako podklad pro zpřesňování Scrum backlogu a pro přípravu ověřitelné akceptace funkcí e-shopu s nábytkem. Zaměřuje se na zákazníka, který se přihlásí e-mailem, zobrazí stav objednávky a vybere nový termín doručení z nabídnutých možností.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Dokument zahrnuje: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zdrojově uvedenou potřebu sledovat stav objednávky;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zdrojově uvedenou potřebu změnit termín doručení bez volání na zákaznickou linku;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přihlášení zákazníka e-mailem;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zobrazení stavu objednávky;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výběr nového termínu doručení z nabídnutých termínů;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uživatelské příběhy, akceptační kritéria ve formátu Given–When–Then, závislosti a sledovatelnost.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Podrobné funkční požadavky, pravidla pro přihlášení, způsob identifikace objednávky, seznam stavů objednávky, pravidla nabídky termínů, oprávnění ke změně termínu a chování při chybách nejsou ve vstupu uvedeny. Tyto části jsou </w:t>
      </w:r>
      <w:r>
        <w:rPr>
          <w:b/>
          <w:bCs/>
          <w:i w:val="false"/>
          <w:iCs w:val="false"/>
        </w:rPr>
        <w:t xml:space="preserve">TBD — vyžadován schválený zdrojový požadavek nebo produktové rozhodnutí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Vyloučeny jsou oblasti, které nejsou ve vstupu doloženy, zejména správa objednávky pracovníkem e-shopu, změna jiných údajů objednávky, platby, reklamace, notifikace a integrace s dopravcem. Jejich zahrnutí by vyžadovalo samostatný zdrojový požadavek.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Zdrojové požadavky a předpoklady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Dostupné zdrojové podklady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SR-001 — Sledování stavu objednávky:</w:t>
      </w:r>
      <w:r>
        <w:rPr>
          <w:b w:val="false"/>
          <w:bCs w:val="false"/>
          <w:i w:val="false"/>
          <w:iCs w:val="false"/>
        </w:rPr>
        <w:t xml:space="preserve"> E-shop s nábytkem chce zákazníkům umožnit sledovat stav objednávky. Zdroj: vstup pro účel a rozsah.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SR-002 — Změna termínu doručení:</w:t>
      </w:r>
      <w:r>
        <w:rPr>
          <w:b w:val="false"/>
          <w:bCs w:val="false"/>
          <w:i w:val="false"/>
          <w:iCs w:val="false"/>
        </w:rPr>
        <w:t xml:space="preserve"> Zákazník může změnit termín doručení bez volání na zákaznickou linku. Zdroj: vstup pro účel a rozsah.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SR-003 — Přihlášení e-mailem:</w:t>
      </w:r>
      <w:r>
        <w:rPr>
          <w:b w:val="false"/>
          <w:bCs w:val="false"/>
          <w:i w:val="false"/>
          <w:iCs w:val="false"/>
        </w:rPr>
        <w:t xml:space="preserve"> Zákazník se přihlásí e-mailem. Zdroj: vstup pro účel a rozsah.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SR-004 — Výběr nabídnutého termínu:</w:t>
      </w:r>
      <w:r>
        <w:rPr>
          <w:b w:val="false"/>
          <w:bCs w:val="false"/>
          <w:i w:val="false"/>
          <w:iCs w:val="false"/>
        </w:rPr>
        <w:t xml:space="preserve"> Zákazník si může vybrat nový termín doručení z nabídnutých termínů. Zdroj: vstup pro účel a rozsah.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Předpoklady a omezení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Role zákazníka je podporována zdrojovým zadáním.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Zobrazení stavu se týká objednávky zákazníka; způsob vazby mezi zákazníkem a objednávkou je </w:t>
      </w:r>
      <w:r>
        <w:rPr>
          <w:b/>
          <w:bCs/>
          <w:i w:val="false"/>
          <w:iCs w:val="false"/>
        </w:rPr>
        <w:t xml:space="preserve">TBD — vyžadováno upřesnění identifikace a oprávnění k objednávce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Nabídka nových termínů existuje, ale její zdroj, dostupnost, platnost a pravidla výběru jsou </w:t>
      </w:r>
      <w:r>
        <w:rPr>
          <w:b/>
          <w:bCs/>
          <w:i w:val="false"/>
          <w:iCs w:val="false"/>
        </w:rPr>
        <w:t xml:space="preserve">TBD — vyžadováno produktové nebo doménové rozhodnutí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 w:val="false"/>
          <w:bCs w:val="false"/>
          <w:i w:val="false"/>
          <w:iCs w:val="false"/>
        </w:rPr>
        <w:t xml:space="preserve">Přihlášení e-mailem je uvedeno, ale metoda ověření e-mailu, bezpečnostní pravidla a chování při neúspěšném přihlášení jsou </w:t>
      </w:r>
      <w:r>
        <w:rPr>
          <w:b/>
          <w:bCs/>
          <w:i w:val="false"/>
          <w:iCs w:val="false"/>
        </w:rPr>
        <w:t xml:space="preserve">TBD — vyžadovány funkční a bezpečnostní požadavky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 w:val="false"/>
          <w:bCs w:val="false"/>
          <w:i w:val="false"/>
          <w:iCs w:val="false"/>
        </w:rPr>
        <w:t xml:space="preserve">Vstupy pro registr, podrobné uživatelské příběhy a akceptační kritéria chybí. Priorita, stav, vlastník, závislosti, testovací důkazy a validační výsledky jsou proto </w:t>
      </w:r>
      <w:r>
        <w:rPr>
          <w:b/>
          <w:bCs/>
          <w:i w:val="false"/>
          <w:iCs w:val="false"/>
        </w:rPr>
        <w:t xml:space="preserve">TBD — vyžadován schválený backlog a testovací podklad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Registr uživatelských příběhů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1"/>
        <w:gridCol w:w="1097"/>
        <w:gridCol w:w="1411"/>
        <w:gridCol w:w="1412"/>
        <w:gridCol w:w="1608"/>
        <w:gridCol w:w="1198"/>
        <w:gridCol w:w="1311"/>
      </w:tblGrid>
      <w:tr>
        <w:trPr>
          <w:cantSplit/>
          <w:tblHeader/>
        </w:trPr>
        <w:tc>
          <w:tcPr>
            <w:tcW w:type="dxa" w:w="16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uživatelského příběhu</w:t>
            </w:r>
          </w:p>
        </w:tc>
        <w:tc>
          <w:tcPr>
            <w:tcW w:type="dxa" w:w="109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Persona</w:t>
            </w:r>
          </w:p>
        </w:tc>
        <w:tc>
          <w:tcPr>
            <w:tcW w:type="dxa" w:w="14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Potřeba</w:t>
            </w:r>
          </w:p>
        </w:tc>
        <w:tc>
          <w:tcPr>
            <w:tcW w:type="dxa" w:w="14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Přínos</w:t>
            </w:r>
          </w:p>
        </w:tc>
        <w:tc>
          <w:tcPr>
            <w:tcW w:type="dxa" w:w="160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Priorita</w:t>
            </w:r>
          </w:p>
        </w:tc>
        <w:tc>
          <w:tcPr>
            <w:tcW w:type="dxa" w:w="119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Zdrojový požadavek</w:t>
            </w:r>
          </w:p>
        </w:tc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16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109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e-shopu</w:t>
            </w:r>
          </w:p>
        </w:tc>
        <w:tc>
          <w:tcPr>
            <w:tcW w:type="dxa" w:w="14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Přihlásit se e-mailem a zobrazit stav své objednávky</w:t>
            </w:r>
          </w:p>
        </w:tc>
        <w:tc>
          <w:tcPr>
            <w:tcW w:type="dxa" w:w="14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Sledovat stav objednávky bez volání na zákaznickou linku</w:t>
            </w:r>
          </w:p>
        </w:tc>
        <w:tc>
          <w:tcPr>
            <w:tcW w:type="dxa" w:w="160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prioritizační rozhodnutí</w:t>
            </w:r>
          </w:p>
        </w:tc>
        <w:tc>
          <w:tcPr>
            <w:tcW w:type="dxa" w:w="119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SR-001, SR-003</w:t>
            </w:r>
          </w:p>
        </w:tc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stav backlogové položky</w:t>
            </w:r>
          </w:p>
        </w:tc>
      </w:tr>
      <w:tr>
        <w:trPr>
          <w:cantSplit/>
        </w:trPr>
        <w:tc>
          <w:tcPr>
            <w:tcW w:type="dxa" w:w="160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US-002</w:t>
            </w:r>
          </w:p>
        </w:tc>
        <w:tc>
          <w:tcPr>
            <w:tcW w:type="dxa" w:w="109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Zákazník e-shopu</w:t>
            </w:r>
          </w:p>
        </w:tc>
        <w:tc>
          <w:tcPr>
            <w:tcW w:type="dxa" w:w="14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Vybrat nový termín doručení z nabídnutých termínů</w:t>
            </w:r>
          </w:p>
        </w:tc>
        <w:tc>
          <w:tcPr>
            <w:tcW w:type="dxa" w:w="141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Změnit termín doručení bez volání na zákaznickou linku</w:t>
            </w:r>
          </w:p>
        </w:tc>
        <w:tc>
          <w:tcPr>
            <w:tcW w:type="dxa" w:w="160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prioritizační rozhodnutí</w:t>
            </w:r>
          </w:p>
        </w:tc>
        <w:tc>
          <w:tcPr>
            <w:tcW w:type="dxa" w:w="119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SR-002, SR-004</w:t>
            </w:r>
          </w:p>
        </w:tc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 stav backlogové položky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Vlastník příběhů a konkrétní závislosti nejsou ve vstupu uvedeny: </w:t>
      </w:r>
      <w:r>
        <w:rPr>
          <w:b/>
          <w:bCs/>
          <w:i w:val="false"/>
          <w:iCs w:val="false"/>
        </w:rPr>
        <w:t xml:space="preserve">TBD — vyžadován vlastník produktu nebo doménový vlastník a schválený backlog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Podrobné uživatelské příběhy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US-001 — Sledování stavu objednávky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Jako</w:t>
      </w:r>
      <w:r>
        <w:rPr>
          <w:b w:val="false"/>
          <w:bCs w:val="false"/>
          <w:i w:val="false"/>
          <w:iCs w:val="false"/>
        </w:rPr>
        <w:t xml:space="preserve"> zákazník e-shopu, </w:t>
      </w:r>
      <w:r>
        <w:rPr>
          <w:b/>
          <w:bCs/>
          <w:i w:val="false"/>
          <w:iCs w:val="false"/>
        </w:rPr>
        <w:t xml:space="preserve">chci</w:t>
      </w:r>
      <w:r>
        <w:rPr>
          <w:b w:val="false"/>
          <w:bCs w:val="false"/>
          <w:i w:val="false"/>
          <w:iCs w:val="false"/>
        </w:rPr>
        <w:t xml:space="preserve"> se přihlásit e-mailem a zobrazit stav své objednávky, </w:t>
      </w:r>
      <w:r>
        <w:rPr>
          <w:b/>
          <w:bCs/>
          <w:i w:val="false"/>
          <w:iCs w:val="false"/>
        </w:rPr>
        <w:t xml:space="preserve">abych</w:t>
      </w:r>
      <w:r>
        <w:rPr>
          <w:b w:val="false"/>
          <w:bCs w:val="false"/>
          <w:i w:val="false"/>
          <w:iCs w:val="false"/>
        </w:rPr>
        <w:t xml:space="preserve"> mohl sledovat stav objednávky bez volání na zákaznickou linku.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Zdroj:</w:t>
      </w:r>
      <w:r>
        <w:rPr>
          <w:b w:val="false"/>
          <w:bCs w:val="false"/>
          <w:i w:val="false"/>
          <w:iCs w:val="false"/>
        </w:rPr>
        <w:t xml:space="preserve"> SR-001, SR-003; vstup pro účel a rozsah.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Priorita:</w:t>
      </w:r>
      <w:r>
        <w:rPr>
          <w:b w:val="false"/>
          <w:bCs w:val="false"/>
          <w:i w:val="false"/>
          <w:iCs w:val="false"/>
        </w:rPr>
        <w:t xml:space="preserve"> TBD — vyžadováno prioritizační rozhodnutí.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Závislosti:</w:t>
      </w:r>
      <w:r>
        <w:rPr>
          <w:b w:val="false"/>
          <w:bCs w:val="false"/>
          <w:i w:val="false"/>
          <w:iCs w:val="false"/>
        </w:rPr>
        <w:t xml:space="preserve"> Identifikace zákazníka a jeho objednávky, mechanismus přihlášení a zdroj aktuálního stavu objednávky jsou TBD — vyžadována specifikace závislostí.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Předpoklady:</w:t>
      </w:r>
      <w:r>
        <w:rPr>
          <w:b w:val="false"/>
          <w:bCs w:val="false"/>
          <w:i w:val="false"/>
          <w:iCs w:val="false"/>
        </w:rPr>
        <w:t xml:space="preserve"> Zákazník má e-mailovou identitu použitelnou pro přihlášení; způsob ověření není uveden.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Poznámka ke zpřesnění:</w:t>
      </w:r>
      <w:r>
        <w:rPr>
          <w:b w:val="false"/>
          <w:bCs w:val="false"/>
          <w:i w:val="false"/>
          <w:iCs w:val="false"/>
        </w:rPr>
        <w:t xml:space="preserve"> Je třeba doplnit pravidla přihlášení, vazbu na objednávku, definici zobrazovaných stavů a očekávané chování při neúspěšném přihlášení.</w:t>
      </w:r>
    </w:p>
    <w:p>
      <w:pPr>
        <w:keepNext/>
        <w:spacing w:after="120" w:before="280"/>
      </w:pPr>
      <w:r>
        <w:rPr>
          <w:b/>
          <w:bCs/>
          <w:i w:val="false"/>
          <w:iCs w:val="false"/>
          <w:color w:val="1F232B"/>
          <w:sz w:val="24"/>
          <w:szCs w:val="24"/>
        </w:rPr>
        <w:t xml:space="preserve">US-002 — Změna termínu doručení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Jako</w:t>
      </w:r>
      <w:r>
        <w:rPr>
          <w:b w:val="false"/>
          <w:bCs w:val="false"/>
          <w:i w:val="false"/>
          <w:iCs w:val="false"/>
        </w:rPr>
        <w:t xml:space="preserve"> zákazník e-shopu, </w:t>
      </w:r>
      <w:r>
        <w:rPr>
          <w:b/>
          <w:bCs/>
          <w:i w:val="false"/>
          <w:iCs w:val="false"/>
        </w:rPr>
        <w:t xml:space="preserve">chci</w:t>
      </w:r>
      <w:r>
        <w:rPr>
          <w:b w:val="false"/>
          <w:bCs w:val="false"/>
          <w:i w:val="false"/>
          <w:iCs w:val="false"/>
        </w:rPr>
        <w:t xml:space="preserve"> vybrat nový termín doručení z nabídnutých termínů, </w:t>
      </w:r>
      <w:r>
        <w:rPr>
          <w:b/>
          <w:bCs/>
          <w:i w:val="false"/>
          <w:iCs w:val="false"/>
        </w:rPr>
        <w:t xml:space="preserve">abych</w:t>
      </w:r>
      <w:r>
        <w:rPr>
          <w:b w:val="false"/>
          <w:bCs w:val="false"/>
          <w:i w:val="false"/>
          <w:iCs w:val="false"/>
        </w:rPr>
        <w:t xml:space="preserve"> mohl změnit termín doručení bez volání na zákaznickou linku.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Zdroj:</w:t>
      </w:r>
      <w:r>
        <w:rPr>
          <w:b w:val="false"/>
          <w:bCs w:val="false"/>
          <w:i w:val="false"/>
          <w:iCs w:val="false"/>
        </w:rPr>
        <w:t xml:space="preserve"> SR-002, SR-004; vstup pro účel a rozsah.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Priorita:</w:t>
      </w:r>
      <w:r>
        <w:rPr>
          <w:b w:val="false"/>
          <w:bCs w:val="false"/>
          <w:i w:val="false"/>
          <w:iCs w:val="false"/>
        </w:rPr>
        <w:t xml:space="preserve"> TBD — vyžadováno prioritizační rozhodnutí.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Závislosti:</w:t>
      </w:r>
      <w:r>
        <w:rPr>
          <w:b w:val="false"/>
          <w:bCs w:val="false"/>
          <w:i w:val="false"/>
          <w:iCs w:val="false"/>
        </w:rPr>
        <w:t xml:space="preserve"> Úspěšné přihlášení, dostupná objednávka, zdroj nabídnutých termínů a mechanismus uložení změny jsou TBD — vyžadována specifikace závislostí.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Předpoklady:</w:t>
      </w:r>
      <w:r>
        <w:rPr>
          <w:b w:val="false"/>
          <w:bCs w:val="false"/>
          <w:i w:val="false"/>
          <w:iCs w:val="false"/>
        </w:rPr>
        <w:t xml:space="preserve"> Zákazníkovi jsou nabídnuty termíny, z nichž může vybírat; pravidla nabídky nejsou uvedena.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Poznámka ke zpřesnění:</w:t>
      </w:r>
      <w:r>
        <w:rPr>
          <w:b w:val="false"/>
          <w:bCs w:val="false"/>
          <w:i w:val="false"/>
          <w:iCs w:val="false"/>
        </w:rPr>
        <w:t xml:space="preserve"> Je třeba doplnit, kdy lze termín změnit, jak se nabídka vytváří, zda je změna okamžitá a jak se potvrzuje nebo oznamuje.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Akceptační kritéria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Vstup pro akceptační kritéria nebyl dodán. Níže jsou proto zachovány požadované vazby a formát, ale konkrétní ověřitelné podmínky jsou </w:t>
      </w:r>
      <w:r>
        <w:rPr>
          <w:b/>
          <w:bCs/>
          <w:i w:val="false"/>
          <w:iCs w:val="false"/>
        </w:rPr>
        <w:t xml:space="preserve">TBD — vyžadován schválený zdroj akceptačních kritérií</w:t>
      </w:r>
      <w:r>
        <w:rPr>
          <w:b w:val="false"/>
          <w:bCs w:val="false"/>
          <w:i w:val="false"/>
          <w:iCs w:val="false"/>
        </w:rPr>
        <w:t xml:space="preserve">. Nebyly doplněny nezdrojované pozitivní, negativní, hraniční ani chybové scénáře.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40"/>
        <w:gridCol w:w="1669"/>
        <w:gridCol w:w="1537"/>
        <w:gridCol w:w="1417"/>
        <w:gridCol w:w="1421"/>
        <w:gridCol w:w="1048"/>
        <w:gridCol w:w="1406"/>
      </w:tblGrid>
      <w:tr>
        <w:trPr>
          <w:cantSplit/>
          <w:tblHeader/>
        </w:trPr>
        <w:tc>
          <w:tcPr>
            <w:tcW w:type="dxa" w:w="114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kritéria</w:t>
            </w:r>
          </w:p>
        </w:tc>
        <w:tc>
          <w:tcPr>
            <w:tcW w:type="dxa" w:w="16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uživatelského příběhu</w:t>
            </w:r>
          </w:p>
        </w:tc>
        <w:tc>
          <w:tcPr>
            <w:tcW w:type="dxa" w:w="15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Předpoklad</w:t>
            </w:r>
          </w:p>
        </w:tc>
        <w:tc>
          <w:tcPr>
            <w:tcW w:type="dxa" w:w="141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Událost</w:t>
            </w:r>
          </w:p>
        </w:tc>
        <w:tc>
          <w:tcPr>
            <w:tcW w:type="dxa" w:w="14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Očekávaný výsledek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Zdroj</w:t>
            </w:r>
          </w:p>
        </w:tc>
        <w:tc>
          <w:tcPr>
            <w:tcW w:type="dxa" w:w="14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 validace</w:t>
            </w:r>
          </w:p>
        </w:tc>
      </w:tr>
      <w:tr>
        <w:trPr>
          <w:cantSplit/>
        </w:trPr>
        <w:tc>
          <w:tcPr>
            <w:tcW w:type="dxa" w:w="114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AC-001</w:t>
            </w:r>
          </w:p>
        </w:tc>
        <w:tc>
          <w:tcPr>
            <w:tcW w:type="dxa" w:w="16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15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vyžadovány podmínky platného přihlášení a dostupnosti objednávky</w:t>
            </w:r>
          </w:p>
        </w:tc>
        <w:tc>
          <w:tcPr>
            <w:tcW w:type="dxa" w:w="141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definice akce zákazníka</w:t>
            </w:r>
          </w:p>
        </w:tc>
        <w:tc>
          <w:tcPr>
            <w:tcW w:type="dxa" w:w="14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přesné očekávané zobrazení stavu objednávky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SR-001, SR-003</w:t>
            </w:r>
          </w:p>
        </w:tc>
        <w:tc>
          <w:tcPr>
            <w:tcW w:type="dxa" w:w="14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kritérium nebylo dodáno ani validováno</w:t>
            </w:r>
          </w:p>
        </w:tc>
      </w:tr>
      <w:tr>
        <w:trPr>
          <w:cantSplit/>
        </w:trPr>
        <w:tc>
          <w:tcPr>
            <w:tcW w:type="dxa" w:w="114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AC-002</w:t>
            </w:r>
          </w:p>
        </w:tc>
        <w:tc>
          <w:tcPr>
            <w:tcW w:type="dxa" w:w="16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15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vyžadovány podmínky neúspěšného přihlášení nebo nedostupné objednávky</w:t>
            </w:r>
          </w:p>
        </w:tc>
        <w:tc>
          <w:tcPr>
            <w:tcW w:type="dxa" w:w="141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definice chybové situace</w:t>
            </w:r>
          </w:p>
        </w:tc>
        <w:tc>
          <w:tcPr>
            <w:tcW w:type="dxa" w:w="14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schválené chování při chybě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SR-003</w:t>
            </w:r>
          </w:p>
        </w:tc>
        <w:tc>
          <w:tcPr>
            <w:tcW w:type="dxa" w:w="14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chybové chování nebylo dodáno</w:t>
            </w:r>
          </w:p>
        </w:tc>
      </w:tr>
      <w:tr>
        <w:trPr>
          <w:cantSplit/>
        </w:trPr>
        <w:tc>
          <w:tcPr>
            <w:tcW w:type="dxa" w:w="114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AC-003</w:t>
            </w:r>
          </w:p>
        </w:tc>
        <w:tc>
          <w:tcPr>
            <w:tcW w:type="dxa" w:w="16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US-002</w:t>
            </w:r>
          </w:p>
        </w:tc>
        <w:tc>
          <w:tcPr>
            <w:tcW w:type="dxa" w:w="15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dostupná objednávka a nabídka termínů</w:t>
            </w:r>
          </w:p>
        </w:tc>
        <w:tc>
          <w:tcPr>
            <w:tcW w:type="dxa" w:w="141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definice výběru termínu</w:t>
            </w:r>
          </w:p>
        </w:tc>
        <w:tc>
          <w:tcPr>
            <w:tcW w:type="dxa" w:w="14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přesné chování po výběru nového termínu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SR-002, SR-004</w:t>
            </w:r>
          </w:p>
        </w:tc>
        <w:tc>
          <w:tcPr>
            <w:tcW w:type="dxa" w:w="14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kritérium nebylo dodáno ani validováno</w:t>
            </w:r>
          </w:p>
        </w:tc>
      </w:tr>
      <w:tr>
        <w:trPr>
          <w:cantSplit/>
        </w:trPr>
        <w:tc>
          <w:tcPr>
            <w:tcW w:type="dxa" w:w="1140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AC-004</w:t>
            </w:r>
          </w:p>
        </w:tc>
        <w:tc>
          <w:tcPr>
            <w:tcW w:type="dxa" w:w="1669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US-002</w:t>
            </w:r>
          </w:p>
        </w:tc>
        <w:tc>
          <w:tcPr>
            <w:tcW w:type="dxa" w:w="153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situace, kdy termín nelze změnit nebo není dostupný</w:t>
            </w:r>
          </w:p>
        </w:tc>
        <w:tc>
          <w:tcPr>
            <w:tcW w:type="dxa" w:w="1417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vyžadována definice nepovolené nebo neúspěšné změny</w:t>
            </w:r>
          </w:p>
        </w:tc>
        <w:tc>
          <w:tcPr>
            <w:tcW w:type="dxa" w:w="142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vyžadováno schválené chování při neúspěšné změně</w:t>
            </w:r>
          </w:p>
        </w:tc>
        <w:tc>
          <w:tcPr>
            <w:tcW w:type="dxa" w:w="104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SR-002, SR-004</w:t>
            </w:r>
          </w:p>
        </w:tc>
        <w:tc>
          <w:tcPr>
            <w:tcW w:type="dxa" w:w="1406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 — hraniční a chybové chování nebylo dodáno</w:t>
            </w:r>
          </w:p>
        </w:tc>
      </w:tr>
    </w:tbl>
    <w:p>
      <w:pPr>
        <w:spacing w:after="120"/>
      </w:pP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Závislosti a omezení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US-001 — Přihlášení:</w:t>
      </w:r>
      <w:r>
        <w:rPr>
          <w:b w:val="false"/>
          <w:bCs w:val="false"/>
          <w:i w:val="false"/>
          <w:iCs w:val="false"/>
        </w:rPr>
        <w:t xml:space="preserve"> Závislost na mechanismu přihlášení e-mailem. Ověřovací postup, zabezpečení, expirace a chybové stavy jsou </w:t>
      </w:r>
      <w:r>
        <w:rPr>
          <w:b/>
          <w:bCs/>
          <w:i w:val="false"/>
          <w:iCs w:val="false"/>
        </w:rPr>
        <w:t xml:space="preserve">TBD — vyžadována funkční a bezpečnostní specifikace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US-001 — Vazba na objednávku:</w:t>
      </w:r>
      <w:r>
        <w:rPr>
          <w:b w:val="false"/>
          <w:bCs w:val="false"/>
          <w:i w:val="false"/>
          <w:iCs w:val="false"/>
        </w:rPr>
        <w:t xml:space="preserve"> Závislost na způsobu určení objednávky zákazníka a rozsahu dostupných údajů. Pravidla oprávnění jsou </w:t>
      </w:r>
      <w:r>
        <w:rPr>
          <w:b/>
          <w:bCs/>
          <w:i w:val="false"/>
          <w:iCs w:val="false"/>
        </w:rPr>
        <w:t xml:space="preserve">TBD — vyžadováno doménové rozhodnutí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US-001 — Zdroj stavu:</w:t>
      </w:r>
      <w:r>
        <w:rPr>
          <w:b w:val="false"/>
          <w:bCs w:val="false"/>
          <w:i w:val="false"/>
          <w:iCs w:val="false"/>
        </w:rPr>
        <w:t xml:space="preserve"> Závislost na systému nebo službě poskytující stav objednávky. Poskytovatel, rozhraní, aktuálnost a případná prodleva jsou </w:t>
      </w:r>
      <w:r>
        <w:rPr>
          <w:b/>
          <w:bCs/>
          <w:i w:val="false"/>
          <w:iCs w:val="false"/>
        </w:rPr>
        <w:t xml:space="preserve">TBD — vyžadována technická specifikace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US-002 — Nabídka termínů:</w:t>
      </w:r>
      <w:r>
        <w:rPr>
          <w:b w:val="false"/>
          <w:bCs w:val="false"/>
          <w:i w:val="false"/>
          <w:iCs w:val="false"/>
        </w:rPr>
        <w:t xml:space="preserve"> Závislost na zdroji dostupných termínů doručení. Pravidla výpočtu a omezení nabídky jsou </w:t>
      </w:r>
      <w:r>
        <w:rPr>
          <w:b/>
          <w:bCs/>
          <w:i w:val="false"/>
          <w:iCs w:val="false"/>
        </w:rPr>
        <w:t xml:space="preserve">TBD — vyžadováno produktové nebo doménové rozhodnutí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384"/>
      </w:pPr>
      <w:r>
        <w:rPr>
          <w:b/>
          <w:bCs/>
          <w:i w:val="false"/>
          <w:iCs w:val="false"/>
        </w:rPr>
        <w:t xml:space="preserve">US-002 — Uložení změny:</w:t>
      </w:r>
      <w:r>
        <w:rPr>
          <w:b w:val="false"/>
          <w:bCs w:val="false"/>
          <w:i w:val="false"/>
          <w:iCs w:val="false"/>
        </w:rPr>
        <w:t xml:space="preserve"> Závislost na mechanismu, který změnu termínu uloží a promítne do objednávky. Rozhraní, potvrzení a vlastník jsou </w:t>
      </w:r>
      <w:r>
        <w:rPr>
          <w:b/>
          <w:bCs/>
          <w:i w:val="false"/>
          <w:iCs w:val="false"/>
        </w:rPr>
        <w:t xml:space="preserve">TBD — vyžadována technická specifikace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US-002 — Sekvence:</w:t>
      </w:r>
      <w:r>
        <w:rPr>
          <w:b w:val="false"/>
          <w:bCs w:val="false"/>
          <w:i w:val="false"/>
          <w:iCs w:val="false"/>
        </w:rPr>
        <w:t xml:space="preserve"> Zda musí zákazník nejprve zobrazit stav objednávky, nebo může přímo změnit termín, je </w:t>
      </w:r>
      <w:r>
        <w:rPr>
          <w:b/>
          <w:bCs/>
          <w:i w:val="false"/>
          <w:iCs w:val="false"/>
        </w:rPr>
        <w:t xml:space="preserve">TBD — vyžadováno produktové rozhodnutí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Dopad na akceptaci nelze bez těchto podkladů úplně určit. Zejména nelze potvrdit, co se považuje za úspěšné přihlášení, platný stav objednávky, dostupný termín ani úspěšně uloženou změnu.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Sledovatelnost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11"/>
        <w:gridCol w:w="1342"/>
        <w:gridCol w:w="2485"/>
        <w:gridCol w:w="1628"/>
        <w:gridCol w:w="2872"/>
      </w:tblGrid>
      <w:tr>
        <w:trPr>
          <w:cantSplit/>
          <w:tblHeader/>
        </w:trPr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zdroje</w:t>
            </w:r>
          </w:p>
        </w:tc>
        <w:tc>
          <w:tcPr>
            <w:tcW w:type="dxa" w:w="13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ID cíle</w:t>
            </w:r>
          </w:p>
        </w:tc>
        <w:tc>
          <w:tcPr>
            <w:tcW w:type="dxa" w:w="24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Vztah</w:t>
            </w:r>
          </w:p>
        </w:tc>
        <w:tc>
          <w:tcPr>
            <w:tcW w:type="dxa" w:w="16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Stav pokrytí</w:t>
            </w:r>
          </w:p>
        </w:tc>
        <w:tc>
          <w:tcPr>
            <w:tcW w:type="dxa" w:w="28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shd w:fill="F4F5F7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Důkazy</w:t>
            </w:r>
          </w:p>
        </w:tc>
      </w:tr>
      <w:tr>
        <w:trPr>
          <w:cantSplit/>
        </w:trPr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SR-001</w:t>
            </w:r>
          </w:p>
        </w:tc>
        <w:tc>
          <w:tcPr>
            <w:tcW w:type="dxa" w:w="13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24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Zdrojový požadavek podporuje uživatelský příběh</w:t>
            </w:r>
          </w:p>
        </w:tc>
        <w:tc>
          <w:tcPr>
            <w:tcW w:type="dxa" w:w="16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Částečně pokryto</w:t>
            </w:r>
          </w:p>
        </w:tc>
        <w:tc>
          <w:tcPr>
            <w:tcW w:type="dxa" w:w="28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pro účel a rozsah; testovací důkaz TBD</w:t>
            </w:r>
          </w:p>
        </w:tc>
      </w:tr>
      <w:tr>
        <w:trPr>
          <w:cantSplit/>
        </w:trPr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SR-003</w:t>
            </w:r>
          </w:p>
        </w:tc>
        <w:tc>
          <w:tcPr>
            <w:tcW w:type="dxa" w:w="13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24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Zdrojový požadavek podporuje uživatelský příběh</w:t>
            </w:r>
          </w:p>
        </w:tc>
        <w:tc>
          <w:tcPr>
            <w:tcW w:type="dxa" w:w="16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Částečně pokryto</w:t>
            </w:r>
          </w:p>
        </w:tc>
        <w:tc>
          <w:tcPr>
            <w:tcW w:type="dxa" w:w="28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pro účel a rozsah; pravidla ověření a testovací důkaz TBD</w:t>
            </w:r>
          </w:p>
        </w:tc>
      </w:tr>
      <w:tr>
        <w:trPr>
          <w:cantSplit/>
        </w:trPr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SR-002</w:t>
            </w:r>
          </w:p>
        </w:tc>
        <w:tc>
          <w:tcPr>
            <w:tcW w:type="dxa" w:w="13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US-002</w:t>
            </w:r>
          </w:p>
        </w:tc>
        <w:tc>
          <w:tcPr>
            <w:tcW w:type="dxa" w:w="24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Zdrojový požadavek podporuje uživatelský příběh</w:t>
            </w:r>
          </w:p>
        </w:tc>
        <w:tc>
          <w:tcPr>
            <w:tcW w:type="dxa" w:w="16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Částečně pokryto</w:t>
            </w:r>
          </w:p>
        </w:tc>
        <w:tc>
          <w:tcPr>
            <w:tcW w:type="dxa" w:w="28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pro účel a rozsah; pravidla uložení a testovací důkaz TBD</w:t>
            </w:r>
          </w:p>
        </w:tc>
      </w:tr>
      <w:tr>
        <w:trPr>
          <w:cantSplit/>
        </w:trPr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SR-004</w:t>
            </w:r>
          </w:p>
        </w:tc>
        <w:tc>
          <w:tcPr>
            <w:tcW w:type="dxa" w:w="13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US-002</w:t>
            </w:r>
          </w:p>
        </w:tc>
        <w:tc>
          <w:tcPr>
            <w:tcW w:type="dxa" w:w="24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Zdrojový požadavek podporuje uživatelský příběh</w:t>
            </w:r>
          </w:p>
        </w:tc>
        <w:tc>
          <w:tcPr>
            <w:tcW w:type="dxa" w:w="16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Částečně pokryto</w:t>
            </w:r>
          </w:p>
        </w:tc>
        <w:tc>
          <w:tcPr>
            <w:tcW w:type="dxa" w:w="28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Vstup pro účel a rozsah; pravidla nabídky a testovací důkaz TBD</w:t>
            </w:r>
          </w:p>
        </w:tc>
      </w:tr>
      <w:tr>
        <w:trPr>
          <w:cantSplit/>
        </w:trPr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13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AC-001</w:t>
            </w:r>
          </w:p>
        </w:tc>
        <w:tc>
          <w:tcPr>
            <w:tcW w:type="dxa" w:w="24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Uživatelský příběh má akceptační kritérium</w:t>
            </w:r>
          </w:p>
        </w:tc>
        <w:tc>
          <w:tcPr>
            <w:tcW w:type="dxa" w:w="16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Neúplně pokryto</w:t>
            </w:r>
          </w:p>
        </w:tc>
        <w:tc>
          <w:tcPr>
            <w:tcW w:type="dxa" w:w="28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Kritérium nebylo dodáno; Given–When–Then TBD</w:t>
            </w:r>
          </w:p>
        </w:tc>
      </w:tr>
      <w:tr>
        <w:trPr>
          <w:cantSplit/>
        </w:trPr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13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AC-002</w:t>
            </w:r>
          </w:p>
        </w:tc>
        <w:tc>
          <w:tcPr>
            <w:tcW w:type="dxa" w:w="24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Uživatelský příběh má akceptační kritérium pro chybu</w:t>
            </w:r>
          </w:p>
        </w:tc>
        <w:tc>
          <w:tcPr>
            <w:tcW w:type="dxa" w:w="16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Neúplně pokryto</w:t>
            </w:r>
          </w:p>
        </w:tc>
        <w:tc>
          <w:tcPr>
            <w:tcW w:type="dxa" w:w="28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Chybové chování nebylo dodáno; Given–When–Then TBD</w:t>
            </w:r>
          </w:p>
        </w:tc>
      </w:tr>
      <w:tr>
        <w:trPr>
          <w:cantSplit/>
        </w:trPr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US-002</w:t>
            </w:r>
          </w:p>
        </w:tc>
        <w:tc>
          <w:tcPr>
            <w:tcW w:type="dxa" w:w="13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AC-003</w:t>
            </w:r>
          </w:p>
        </w:tc>
        <w:tc>
          <w:tcPr>
            <w:tcW w:type="dxa" w:w="24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Uživatelský příběh má akceptační kritérium</w:t>
            </w:r>
          </w:p>
        </w:tc>
        <w:tc>
          <w:tcPr>
            <w:tcW w:type="dxa" w:w="16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Neúplně pokryto</w:t>
            </w:r>
          </w:p>
        </w:tc>
        <w:tc>
          <w:tcPr>
            <w:tcW w:type="dxa" w:w="28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Kritérium nebylo dodáno; Given–When–Then TBD</w:t>
            </w:r>
          </w:p>
        </w:tc>
      </w:tr>
      <w:tr>
        <w:trPr>
          <w:cantSplit/>
        </w:trPr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US-002</w:t>
            </w:r>
          </w:p>
        </w:tc>
        <w:tc>
          <w:tcPr>
            <w:tcW w:type="dxa" w:w="13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AC-004</w:t>
            </w:r>
          </w:p>
        </w:tc>
        <w:tc>
          <w:tcPr>
            <w:tcW w:type="dxa" w:w="24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Uživatelský příběh má akceptační kritérium pro chybu nebo hranici</w:t>
            </w:r>
          </w:p>
        </w:tc>
        <w:tc>
          <w:tcPr>
            <w:tcW w:type="dxa" w:w="16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Neúplně pokryto</w:t>
            </w:r>
          </w:p>
        </w:tc>
        <w:tc>
          <w:tcPr>
            <w:tcW w:type="dxa" w:w="28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Hraniční a chybové chování nebylo dodáno; Given–When–Then TBD</w:t>
            </w:r>
          </w:p>
        </w:tc>
      </w:tr>
      <w:tr>
        <w:trPr>
          <w:cantSplit/>
        </w:trPr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US-001</w:t>
            </w:r>
          </w:p>
        </w:tc>
        <w:tc>
          <w:tcPr>
            <w:tcW w:type="dxa" w:w="13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DEP-001</w:t>
            </w:r>
          </w:p>
        </w:tc>
        <w:tc>
          <w:tcPr>
            <w:tcW w:type="dxa" w:w="24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Uživatelský příběh vyžaduje přihlášení a vazbu na objednávku</w:t>
            </w:r>
          </w:p>
        </w:tc>
        <w:tc>
          <w:tcPr>
            <w:tcW w:type="dxa" w:w="16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8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Závislosti nebyly identifikovány ve zdrojovém podkladu</w:t>
            </w:r>
          </w:p>
        </w:tc>
      </w:tr>
      <w:tr>
        <w:trPr>
          <w:cantSplit/>
        </w:trPr>
        <w:tc>
          <w:tcPr>
            <w:tcW w:type="dxa" w:w="1311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US-002</w:t>
            </w:r>
          </w:p>
        </w:tc>
        <w:tc>
          <w:tcPr>
            <w:tcW w:type="dxa" w:w="134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DEP-002</w:t>
            </w:r>
          </w:p>
        </w:tc>
        <w:tc>
          <w:tcPr>
            <w:tcW w:type="dxa" w:w="2485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Uživatelský příběh vyžaduje nabídku a uložení termínu</w:t>
            </w:r>
          </w:p>
        </w:tc>
        <w:tc>
          <w:tcPr>
            <w:tcW w:type="dxa" w:w="1628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TBD</w:t>
            </w:r>
          </w:p>
        </w:tc>
        <w:tc>
          <w:tcPr>
            <w:tcW w:type="dxa" w:w="2872"/>
            <w:tcBorders>
              <w:top w:val="single" w:color="D8DBE0" w:sz="4"/>
              <w:left w:val="single" w:color="D8DBE0" w:sz="4"/>
              <w:bottom w:val="single" w:color="D8DBE0" w:sz="4"/>
              <w:right w:val="single" w:color="D8DBE0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Závislosti nebyly identifikovány ve zdrojovém podkladu</w:t>
            </w:r>
          </w:p>
        </w:tc>
      </w:tr>
    </w:tbl>
    <w:p>
      <w:pPr>
        <w:spacing w:after="120"/>
      </w:pPr>
    </w:p>
    <w:p>
      <w:pPr>
        <w:spacing w:after="180" w:line="384"/>
        <w:jc w:val="both"/>
      </w:pPr>
      <w:r>
        <w:rPr>
          <w:b w:val="false"/>
          <w:bCs w:val="false"/>
          <w:i w:val="false"/>
          <w:iCs w:val="false"/>
        </w:rPr>
        <w:t xml:space="preserve">Nebyl dodán samostatný kontrolovaný baseline, verze požadavků ani testovací evidence. Duplicity, sirotčí požadavky a nepodložené vztahy proto nelze úplně posoudit: </w:t>
      </w:r>
      <w:r>
        <w:rPr>
          <w:b/>
          <w:bCs/>
          <w:i w:val="false"/>
          <w:iCs w:val="false"/>
        </w:rPr>
        <w:t xml:space="preserve">TBD — vyžadován schválený backlog, zdrojové verze a testovací nebo validační důkazy</w:t>
      </w:r>
      <w:r>
        <w:rPr>
          <w:b w:val="false"/>
          <w:bCs w:val="false"/>
          <w:i w:val="false"/>
          <w:iCs w:val="false"/>
        </w:rPr>
        <w:t xml:space="preserve">.</w:t>
      </w:r>
    </w:p>
    <w:p>
      <w:pPr>
        <w:keepNext/>
        <w:spacing w:after="160" w:before="400"/>
      </w:pPr>
      <w:r>
        <w:rPr>
          <w:b/>
          <w:bCs/>
          <w:i w:val="false"/>
          <w:iCs w:val="false"/>
          <w:color w:val="1F232B"/>
          <w:sz w:val="30"/>
          <w:szCs w:val="30"/>
        </w:rPr>
        <w:t xml:space="preserve">Mezery a upřesnění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US-001 — Persona a přístup:</w:t>
      </w:r>
      <w:r>
        <w:rPr>
          <w:b w:val="false"/>
          <w:bCs w:val="false"/>
          <w:i w:val="false"/>
          <w:iCs w:val="false"/>
        </w:rPr>
        <w:t xml:space="preserve"> Zákazník je uveden jako podporovaná role, ale pravidla identifikace a oprávnění k objednávce chybí.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Vlastník:</w:t>
      </w:r>
      <w:r>
        <w:rPr>
          <w:b w:val="false"/>
          <w:bCs w:val="false"/>
          <w:i w:val="false"/>
          <w:iCs w:val="false"/>
        </w:rPr>
        <w:t xml:space="preserve"> TBD — vlastník produktu nebo doménový vlastník. </w:t>
      </w:r>
      <w:r>
        <w:rPr>
          <w:b/>
          <w:bCs/>
          <w:i w:val="false"/>
          <w:iCs w:val="false"/>
        </w:rPr>
        <w:t xml:space="preserve">Potřebné rozhodnutí:</w:t>
      </w:r>
      <w:r>
        <w:rPr>
          <w:b w:val="false"/>
          <w:bCs w:val="false"/>
          <w:i w:val="false"/>
          <w:iCs w:val="false"/>
        </w:rPr>
        <w:t xml:space="preserve"> Upřesnit, jak se zákazník ověřuje a jak se objednávka přiřazuje k jeho účtu nebo e-mailu.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US-001 — Přihlášení e-mailem:</w:t>
      </w:r>
      <w:r>
        <w:rPr>
          <w:b w:val="false"/>
          <w:bCs w:val="false"/>
          <w:i w:val="false"/>
          <w:iCs w:val="false"/>
        </w:rPr>
        <w:t xml:space="preserve"> Není uvedeno, zda jde o heslo, jednorázový odkaz, kód nebo jiný mechanismus.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Vlastník:</w:t>
      </w:r>
      <w:r>
        <w:rPr>
          <w:b w:val="false"/>
          <w:bCs w:val="false"/>
          <w:i w:val="false"/>
          <w:iCs w:val="false"/>
        </w:rPr>
        <w:t xml:space="preserve"> TBD — vlastník produktu a bezpečnosti. </w:t>
      </w:r>
      <w:r>
        <w:rPr>
          <w:b/>
          <w:bCs/>
          <w:i w:val="false"/>
          <w:iCs w:val="false"/>
        </w:rPr>
        <w:t xml:space="preserve">Potřebný důkaz:</w:t>
      </w:r>
      <w:r>
        <w:rPr>
          <w:b w:val="false"/>
          <w:bCs w:val="false"/>
          <w:i w:val="false"/>
          <w:iCs w:val="false"/>
        </w:rPr>
        <w:t xml:space="preserve"> Schválený funkční a bezpečnostní požadavek.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US-001 — Stav objednávky:</w:t>
      </w:r>
      <w:r>
        <w:rPr>
          <w:b w:val="false"/>
          <w:bCs w:val="false"/>
          <w:i w:val="false"/>
          <w:iCs w:val="false"/>
        </w:rPr>
        <w:t xml:space="preserve"> Není definováno, jaké stavy se zobrazují, odkud pocházejí ani jak aktuální musí být.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Vlastník:</w:t>
      </w:r>
      <w:r>
        <w:rPr>
          <w:b w:val="false"/>
          <w:bCs w:val="false"/>
          <w:i w:val="false"/>
          <w:iCs w:val="false"/>
        </w:rPr>
        <w:t xml:space="preserve"> TBD — produktový nebo doménový vlastník. </w:t>
      </w:r>
      <w:r>
        <w:rPr>
          <w:b/>
          <w:bCs/>
          <w:i w:val="false"/>
          <w:iCs w:val="false"/>
        </w:rPr>
        <w:t xml:space="preserve">Potřebné rozhodnutí:</w:t>
      </w:r>
      <w:r>
        <w:rPr>
          <w:b w:val="false"/>
          <w:bCs w:val="false"/>
          <w:i w:val="false"/>
          <w:iCs w:val="false"/>
        </w:rPr>
        <w:t xml:space="preserve"> Schválit seznam stavů, zdroj dat a očekávanou aktuálnost.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US-002 — Nabídnuté termíny:</w:t>
      </w:r>
      <w:r>
        <w:rPr>
          <w:b w:val="false"/>
          <w:bCs w:val="false"/>
          <w:i w:val="false"/>
          <w:iCs w:val="false"/>
        </w:rPr>
        <w:t xml:space="preserve"> Není definováno, podle čeho se termíny nabízejí, jak dlouho platí a zda existují omezení změny.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Vlastník:</w:t>
      </w:r>
      <w:r>
        <w:rPr>
          <w:b w:val="false"/>
          <w:bCs w:val="false"/>
          <w:i w:val="false"/>
          <w:iCs w:val="false"/>
        </w:rPr>
        <w:t xml:space="preserve"> TBD — doménový vlastník doručení. </w:t>
      </w:r>
      <w:r>
        <w:rPr>
          <w:b/>
          <w:bCs/>
          <w:i w:val="false"/>
          <w:iCs w:val="false"/>
        </w:rPr>
        <w:t xml:space="preserve">Potřebné rozhodnutí:</w:t>
      </w:r>
      <w:r>
        <w:rPr>
          <w:b w:val="false"/>
          <w:bCs w:val="false"/>
          <w:i w:val="false"/>
          <w:iCs w:val="false"/>
        </w:rPr>
        <w:t xml:space="preserve"> Schválit pravidla dostupnosti a výběru termínu.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US-002 — Potvrzení změny:</w:t>
      </w:r>
      <w:r>
        <w:rPr>
          <w:b w:val="false"/>
          <w:bCs w:val="false"/>
          <w:i w:val="false"/>
          <w:iCs w:val="false"/>
        </w:rPr>
        <w:t xml:space="preserve"> Není uvedeno, zda se změna uloží okamžitě, zda ji lze později zrušit a jak zákazník pozná, že byla přijata.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Vlastník:</w:t>
      </w:r>
      <w:r>
        <w:rPr>
          <w:b w:val="false"/>
          <w:bCs w:val="false"/>
          <w:i w:val="false"/>
          <w:iCs w:val="false"/>
        </w:rPr>
        <w:t xml:space="preserve"> TBD — vlastník produktu. </w:t>
      </w:r>
      <w:r>
        <w:rPr>
          <w:b/>
          <w:bCs/>
          <w:i w:val="false"/>
          <w:iCs w:val="false"/>
        </w:rPr>
        <w:t xml:space="preserve">Potřebné rozhodnutí:</w:t>
      </w:r>
      <w:r>
        <w:rPr>
          <w:b w:val="false"/>
          <w:bCs w:val="false"/>
          <w:i w:val="false"/>
          <w:iCs w:val="false"/>
        </w:rPr>
        <w:t xml:space="preserve"> Doplnit očekávaný výsledek a odpovídající akceptační kritéria.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US-001, US-002 — Chybové a hraniční scénáře:</w:t>
      </w:r>
      <w:r>
        <w:rPr>
          <w:b w:val="false"/>
          <w:bCs w:val="false"/>
          <w:i w:val="false"/>
          <w:iCs w:val="false"/>
        </w:rPr>
        <w:t xml:space="preserve"> Nejsou dodány scénáře pro neplatné přihlášení, nenalezenou objednávku, žádný nabídnutý termín, nedostupnost služby nebo neúspěšné uložení.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Vlastník:</w:t>
      </w:r>
      <w:r>
        <w:rPr>
          <w:b w:val="false"/>
          <w:bCs w:val="false"/>
          <w:i w:val="false"/>
          <w:iCs w:val="false"/>
        </w:rPr>
        <w:t xml:space="preserve"> TBD — produktový a technický vlastník. </w:t>
      </w:r>
      <w:r>
        <w:rPr>
          <w:b/>
          <w:bCs/>
          <w:i w:val="false"/>
          <w:iCs w:val="false"/>
        </w:rPr>
        <w:t xml:space="preserve">Potřebný důkaz:</w:t>
      </w:r>
      <w:r>
        <w:rPr>
          <w:b w:val="false"/>
          <w:bCs w:val="false"/>
          <w:i w:val="false"/>
          <w:iCs w:val="false"/>
        </w:rPr>
        <w:t xml:space="preserve"> Schválená sada Given–When–Then kritérií včetně negativního a hraničního chování.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US-001, US-002 — Priorita, stav a vlastník:</w:t>
      </w:r>
      <w:r>
        <w:rPr>
          <w:b w:val="false"/>
          <w:bCs w:val="false"/>
          <w:i w:val="false"/>
          <w:iCs w:val="false"/>
        </w:rPr>
        <w:t xml:space="preserve"> Priorita, stav backlogu, vlastník a případné pořadí dodání nebyly dodány.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Vlastník:</w:t>
      </w:r>
      <w:r>
        <w:rPr>
          <w:b w:val="false"/>
          <w:bCs w:val="false"/>
          <w:i w:val="false"/>
          <w:iCs w:val="false"/>
        </w:rPr>
        <w:t xml:space="preserve"> TBD — Product Owner. </w:t>
      </w:r>
      <w:r>
        <w:rPr>
          <w:b/>
          <w:bCs/>
          <w:i w:val="false"/>
          <w:iCs w:val="false"/>
        </w:rPr>
        <w:t xml:space="preserve">Potřebné rozhodnutí:</w:t>
      </w:r>
      <w:r>
        <w:rPr>
          <w:b w:val="false"/>
          <w:bCs w:val="false"/>
          <w:i w:val="false"/>
          <w:iCs w:val="false"/>
        </w:rPr>
        <w:t xml:space="preserve"> Doplnit a schválit backlogová metadata.</w:t>
      </w:r>
    </w:p>
    <w:p>
      <w:pPr>
        <w:pStyle w:val="ListParagraph"/>
        <w:numPr>
          <w:ilvl w:val="0"/>
          <w:numId w:val="2"/>
        </w:numPr>
        <w:spacing w:after="240" w:line="384"/>
      </w:pPr>
      <w:r>
        <w:rPr>
          <w:b/>
          <w:bCs/>
          <w:i w:val="false"/>
          <w:iCs w:val="false"/>
        </w:rPr>
        <w:t xml:space="preserve">US-001, US-002 — Testovací důkazy:</w:t>
      </w:r>
      <w:r>
        <w:rPr>
          <w:b w:val="false"/>
          <w:bCs w:val="false"/>
          <w:i w:val="false"/>
          <w:iCs w:val="false"/>
        </w:rPr>
        <w:t xml:space="preserve"> Nebyly dodány testovací případy, výsledky ověření ani podmínky akceptace.</w:t>
      </w:r>
    </w:p>
    <w:p>
      <w:pPr>
        <w:spacing w:after="180" w:line="384"/>
        <w:jc w:val="both"/>
      </w:pPr>
      <w:r>
        <w:rPr>
          <w:b/>
          <w:bCs/>
          <w:i w:val="false"/>
          <w:iCs w:val="false"/>
        </w:rPr>
        <w:t xml:space="preserve">Vlastník:</w:t>
      </w:r>
      <w:r>
        <w:rPr>
          <w:b w:val="false"/>
          <w:bCs w:val="false"/>
          <w:i w:val="false"/>
          <w:iCs w:val="false"/>
        </w:rPr>
        <w:t xml:space="preserve"> TBD — Product Owner ve spolupráci s QA. </w:t>
      </w:r>
      <w:r>
        <w:rPr>
          <w:b/>
          <w:bCs/>
          <w:i w:val="false"/>
          <w:iCs w:val="false"/>
        </w:rPr>
        <w:t xml:space="preserve">Potřebný důkaz:</w:t>
      </w:r>
      <w:r>
        <w:rPr>
          <w:b w:val="false"/>
          <w:bCs w:val="false"/>
          <w:i w:val="false"/>
          <w:iCs w:val="false"/>
        </w:rPr>
        <w:t xml:space="preserve"> Schválené testovací scénáře a výsledky ověření před akceptací.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079"/>
        <w:sz w:val="18"/>
        <w:szCs w:val="18"/>
      </w:rPr>
      <w:t xml:space="preserve">Vygenerováno pomocí AI v Baaito – před použitím zkontrolujte.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32B"/>
        <w:sz w:val="21"/>
        <w:szCs w:val="21"/>
      </w:rPr>
    </w:rPrDefault>
    <w:pPrDefault>
      <w:pPr>
        <w:spacing w:line="38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Stories &amp; Acceptance Criteria — Sledování objednávky a změna termínu doručení</dc:title>
  <dc:subject>AI-generated document</dc:subject>
  <dc:creator>Baaito (AI-generated)</dc:creator>
  <cp:keywords>AI-generated, Baaito</cp:keywords>
  <dc:description>Generator: Baaito (AI-generated), model: gpt-5.6-luna, date: 2026-10-28</dc:description>
  <cp:lastModifiedBy>Baaito</cp:lastModifiedBy>
  <cp:revision>1</cp:revision>
  <dcterms:created xsi:type="dcterms:W3CDTF">2026-10-28T19:19:31.632Z</dcterms:created>
  <dcterms:modified xsi:type="dcterms:W3CDTF">2026-10-28T19:19:31.632Z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Baaito (AI-generated)</vt:lpwstr>
  </property>
  <property fmtid="{D5CDD505-2E9C-101B-9397-08002B2CF9AE}" pid="3" name="AI model">
    <vt:lpwstr>gpt-5.6-luna</vt:lpwstr>
  </property>
  <property fmtid="{D5CDD505-2E9C-101B-9397-08002B2CF9AE}" pid="4" name="Generated">
    <vt:lpwstr>2026-10-28</vt:lpwstr>
  </property>
</Properties>
</file>